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9.wmf" ContentType="image/x-wmf"/>
  <Override PartName="/word/media/image10.wmf" ContentType="image/x-wmf"/>
  <Override PartName="/word/media/image13.wmf" ContentType="image/x-wmf"/>
  <Override PartName="/word/media/image21.wmf" ContentType="image/x-wmf"/>
  <Override PartName="/word/media/image8.wmf" ContentType="image/x-wmf"/>
  <Override PartName="/word/media/image12.wmf" ContentType="image/x-wmf"/>
  <Override PartName="/word/media/image20.wmf" ContentType="image/x-wmf"/>
  <Override PartName="/word/media/image7.wmf" ContentType="image/x-wmf"/>
  <Override PartName="/word/media/image11.wmf" ContentType="image/x-wmf"/>
  <Override PartName="/word/media/image19.wmf" ContentType="image/x-wmf"/>
  <Override PartName="/word/media/image1.png" ContentType="image/png"/>
  <Override PartName="/word/media/image18.wmf" ContentType="image/x-wmf"/>
  <Override PartName="/word/media/image17.wmf" ContentType="image/x-wmf"/>
  <Override PartName="/word/media/image16.wmf" ContentType="image/x-wmf"/>
  <Override PartName="/word/media/image15.wmf" ContentType="image/x-wmf"/>
  <Override PartName="/word/media/image22.wmf" ContentType="image/x-wmf"/>
  <Override PartName="/word/media/image14.wmf" ContentType="image/x-wmf"/>
  <Override PartName="/word/media/image2.wmf" ContentType="image/x-wmf"/>
  <Override PartName="/word/media/image3.wmf" ContentType="image/x-wmf"/>
  <Override PartName="/word/media/image4.wmf" ContentType="image/x-wmf"/>
  <Override PartName="/word/media/image5.wmf" ContentType="image/x-wmf"/>
  <Override PartName="/word/media/image6.wmf" ContentType="image/x-wmf"/>
  <Override PartName="/word/header1.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8"/>
          <w:tab w:val="left" w:pos="6926" w:leader="none"/>
        </w:tabs>
        <w:jc w:val="center"/>
        <w:rPr>
          <w:b/>
          <w:sz w:val="24"/>
          <w:szCs w:val="24"/>
        </w:rPr>
      </w:pPr>
      <w:r>
        <w:rPr>
          <w:b/>
          <w:bCs/>
          <w:sz w:val="24"/>
          <w:szCs w:val="24"/>
        </w:rPr>
        <w:t xml:space="preserve">Договор поставки № </w:t>
      </w:r>
    </w:p>
    <w:p>
      <w:pPr>
        <w:pStyle w:val="Normal"/>
        <w:shd w:val="clear" w:color="auto" w:fill="FFFFFF"/>
        <w:rPr>
          <w:b/>
          <w:bCs/>
          <w:sz w:val="24"/>
          <w:szCs w:val="24"/>
        </w:rPr>
      </w:pPr>
      <w:r>
        <w:rPr>
          <w:b/>
          <w:bCs/>
          <w:sz w:val="24"/>
          <w:szCs w:val="24"/>
        </w:rPr>
      </w:r>
    </w:p>
    <w:p>
      <w:pPr>
        <w:pStyle w:val="Normal"/>
        <w:shd w:val="clear" w:color="auto" w:fill="FFFFFF"/>
        <w:tabs>
          <w:tab w:val="clear" w:pos="708"/>
          <w:tab w:val="right" w:pos="9639" w:leader="none"/>
        </w:tabs>
        <w:jc w:val="right"/>
        <w:rPr>
          <w:bCs/>
          <w:sz w:val="24"/>
          <w:szCs w:val="24"/>
        </w:rPr>
      </w:pPr>
      <w:r>
        <w:rPr>
          <w:bCs/>
          <w:sz w:val="24"/>
          <w:szCs w:val="24"/>
        </w:rPr>
        <w:t>г. Жигулевск</w:t>
        <w:tab/>
        <w:t xml:space="preserve">   «___» _________ 2026 г.</w:t>
      </w:r>
    </w:p>
    <w:p>
      <w:pPr>
        <w:pStyle w:val="Normal"/>
        <w:shd w:val="clear" w:color="auto" w:fill="FFFFFF"/>
        <w:tabs>
          <w:tab w:val="clear" w:pos="708"/>
          <w:tab w:val="right" w:pos="9639" w:leader="none"/>
        </w:tabs>
        <w:jc w:val="right"/>
        <w:rPr>
          <w:bCs/>
          <w:sz w:val="24"/>
          <w:szCs w:val="24"/>
        </w:rPr>
      </w:pPr>
      <w:r>
        <w:rPr>
          <w:bCs/>
          <w:sz w:val="24"/>
          <w:szCs w:val="24"/>
        </w:rPr>
      </w:r>
    </w:p>
    <w:p>
      <w:pPr>
        <w:pStyle w:val="Normal"/>
        <w:ind w:firstLine="709"/>
        <w:jc w:val="both"/>
        <w:rPr>
          <w:sz w:val="24"/>
          <w:szCs w:val="24"/>
        </w:rPr>
      </w:pPr>
      <w:r>
        <w:rPr>
          <w:b/>
          <w:sz w:val="24"/>
          <w:szCs w:val="24"/>
        </w:rPr>
        <w:t xml:space="preserve">Публичное акционерное общество «Федеральная гидрогенерирующая компания – РусГидро» </w:t>
      </w:r>
      <w:r>
        <w:rPr>
          <w:sz w:val="24"/>
          <w:szCs w:val="24"/>
        </w:rPr>
        <w:t>(ПАО «РусГидро»)</w:t>
      </w:r>
      <w:r>
        <w:rPr>
          <w:spacing w:val="2"/>
          <w:sz w:val="24"/>
          <w:szCs w:val="24"/>
        </w:rPr>
        <w:t xml:space="preserve">, (далее – </w:t>
      </w:r>
      <w:r>
        <w:rPr>
          <w:sz w:val="24"/>
          <w:szCs w:val="24"/>
        </w:rPr>
        <w:t xml:space="preserve">«Покупатель»), в лице _________, действующего на основании ___________, с одной стороны, и </w:t>
      </w:r>
    </w:p>
    <w:p>
      <w:pPr>
        <w:pStyle w:val="Normal"/>
        <w:ind w:firstLine="709"/>
        <w:jc w:val="both"/>
        <w:rPr>
          <w:sz w:val="24"/>
          <w:szCs w:val="24"/>
        </w:rPr>
      </w:pPr>
      <w:r>
        <w:rPr>
          <w:b/>
          <w:sz w:val="24"/>
          <w:szCs w:val="24"/>
        </w:rPr>
        <w:t>_____________</w:t>
      </w:r>
      <w:r>
        <w:rPr>
          <w:sz w:val="24"/>
          <w:szCs w:val="24"/>
        </w:rPr>
        <w:t xml:space="preserve"> (___________) (далее – «Поставщик»), в лице ____________, действующей на основании __________, с другой стороны, </w:t>
      </w:r>
    </w:p>
    <w:p>
      <w:pPr>
        <w:pStyle w:val="Normal"/>
        <w:ind w:firstLine="709"/>
        <w:jc w:val="both"/>
        <w:rPr>
          <w:sz w:val="24"/>
          <w:szCs w:val="24"/>
        </w:rPr>
      </w:pPr>
      <w:r>
        <w:rPr>
          <w:sz w:val="24"/>
          <w:szCs w:val="24"/>
        </w:rPr>
        <w:t xml:space="preserve">совместно в дальнейшем именуемые «Стороны», а по отдельности – «Сторона», </w:t>
        <w:br/>
      </w:r>
      <w:r>
        <w:rPr>
          <w:sz w:val="24"/>
          <w:szCs w:val="24"/>
          <w:lang w:eastAsia="en-US"/>
        </w:rPr>
        <w:t>по результатам проведенной Покупателем закупочной процедуры по лоту ______ (№ процедуры на ЭТП _________),</w:t>
      </w:r>
    </w:p>
    <w:p>
      <w:pPr>
        <w:pStyle w:val="Normal"/>
        <w:ind w:firstLine="709"/>
        <w:jc w:val="both"/>
        <w:rPr>
          <w:spacing w:val="10"/>
          <w:sz w:val="24"/>
          <w:szCs w:val="24"/>
        </w:rPr>
      </w:pPr>
      <w:r>
        <w:rPr>
          <w:sz w:val="24"/>
          <w:szCs w:val="24"/>
        </w:rPr>
        <w:t>заключили настоящий договор поставки (далее – «Договор») о нижеследующем:</w:t>
      </w:r>
    </w:p>
    <w:p>
      <w:pPr>
        <w:pStyle w:val="Normal"/>
        <w:shd w:val="clear" w:color="auto" w:fill="FFFFFF"/>
        <w:rPr>
          <w:bCs/>
          <w:sz w:val="24"/>
          <w:szCs w:val="24"/>
          <w:lang w:val="x-none"/>
        </w:rPr>
      </w:pPr>
      <w:r>
        <w:rPr>
          <w:bCs/>
          <w:sz w:val="24"/>
          <w:szCs w:val="24"/>
          <w:lang w:val="x-none"/>
        </w:rPr>
      </w:r>
    </w:p>
    <w:p>
      <w:pPr>
        <w:pStyle w:val="Normal"/>
        <w:shd w:val="clear" w:color="auto" w:fill="FFFFFF"/>
        <w:jc w:val="center"/>
        <w:rPr>
          <w:b/>
          <w:bCs/>
          <w:sz w:val="24"/>
          <w:szCs w:val="24"/>
        </w:rPr>
      </w:pPr>
      <w:r>
        <w:rPr>
          <w:b/>
          <w:bCs/>
          <w:sz w:val="24"/>
          <w:szCs w:val="24"/>
        </w:rPr>
        <w:t>Термины и определения</w:t>
      </w:r>
    </w:p>
    <w:p>
      <w:pPr>
        <w:pStyle w:val="Normal"/>
        <w:shd w:val="clear" w:color="auto" w:fill="FFFFFF"/>
        <w:ind w:firstLine="709"/>
        <w:jc w:val="both"/>
        <w:rPr>
          <w:bCs/>
          <w:sz w:val="24"/>
          <w:szCs w:val="24"/>
        </w:rPr>
      </w:pPr>
      <w:r>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shd w:val="clear" w:color="auto" w:fill="FFFFFF"/>
        <w:tabs>
          <w:tab w:val="clear" w:pos="708"/>
          <w:tab w:val="left" w:pos="0" w:leader="none"/>
        </w:tabs>
        <w:ind w:left="0" w:firstLine="709"/>
        <w:jc w:val="both"/>
        <w:textAlignment w:val="baseline"/>
        <w:rPr>
          <w:sz w:val="24"/>
          <w:szCs w:val="24"/>
          <w:lang w:eastAsia="en-US"/>
        </w:rPr>
      </w:pPr>
      <w:r>
        <w:rPr>
          <w:b/>
          <w:sz w:val="24"/>
          <w:szCs w:val="24"/>
          <w:lang w:eastAsia="en-US"/>
        </w:rPr>
        <w:t>«Акт рекламации»</w:t>
      </w:r>
      <w:r>
        <w:rPr>
          <w:sz w:val="24"/>
          <w:szCs w:val="24"/>
          <w:lang w:eastAsia="en-US"/>
        </w:rPr>
        <w:t xml:space="preserve"> – документ, оформляемый по унифицированным формам </w:t>
        <w:br/>
        <w:t xml:space="preserve">№ ТОРГ-2 «Акт об установленном расхождении по количеству и качеству при приемке товарно-материальных ценностей» и № ТОРГ-3 «Акт об установленном расхождении </w:t>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pPr>
        <w:pStyle w:val="ListParagraph"/>
        <w:shd w:val="clear" w:color="auto" w:fill="FFFFFF"/>
        <w:tabs>
          <w:tab w:val="clear" w:pos="708"/>
          <w:tab w:val="left" w:pos="567" w:leader="none"/>
          <w:tab w:val="left" w:pos="1134" w:leader="none"/>
        </w:tabs>
        <w:ind w:left="0" w:firstLine="708"/>
        <w:jc w:val="both"/>
        <w:textAlignment w:val="baseline"/>
        <w:rPr>
          <w:sz w:val="24"/>
          <w:szCs w:val="24"/>
          <w:lang w:eastAsia="en-US"/>
        </w:rPr>
      </w:pPr>
      <w:r>
        <w:rPr>
          <w:b/>
          <w:sz w:val="24"/>
          <w:szCs w:val="24"/>
          <w:lang w:eastAsia="en-US"/>
        </w:rPr>
        <w:t>«Гарантийный срок»</w:t>
      </w:r>
      <w:r>
        <w:rPr>
          <w:sz w:val="24"/>
          <w:szCs w:val="24"/>
        </w:rPr>
        <w:t xml:space="preserve"> </w:t>
      </w:r>
      <w:r>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pPr>
        <w:pStyle w:val="ListParagraph"/>
        <w:shd w:val="clear" w:color="auto" w:fill="FFFFFF"/>
        <w:tabs>
          <w:tab w:val="clear" w:pos="708"/>
          <w:tab w:val="left" w:pos="0" w:leader="none"/>
        </w:tabs>
        <w:ind w:left="0" w:firstLine="709"/>
        <w:jc w:val="both"/>
        <w:textAlignment w:val="baseline"/>
        <w:rPr>
          <w:sz w:val="24"/>
          <w:szCs w:val="24"/>
          <w:lang w:eastAsia="en-US"/>
        </w:rPr>
      </w:pPr>
      <w:r>
        <w:rPr>
          <w:b/>
          <w:sz w:val="24"/>
          <w:szCs w:val="24"/>
          <w:lang w:eastAsia="en-US"/>
        </w:rPr>
        <w:t>«Договор»</w:t>
      </w:r>
      <w:r>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br/>
        <w:t>что они заключены надлежащим образом, и из них явно следует, что они составляют часть Договора.</w:t>
      </w:r>
    </w:p>
    <w:p>
      <w:pPr>
        <w:pStyle w:val="ListParagraph"/>
        <w:shd w:val="clear" w:color="auto" w:fill="FFFFFF"/>
        <w:tabs>
          <w:tab w:val="clear" w:pos="708"/>
          <w:tab w:val="left" w:pos="0" w:leader="none"/>
        </w:tabs>
        <w:ind w:left="0" w:firstLine="709"/>
        <w:jc w:val="both"/>
        <w:textAlignment w:val="baseline"/>
        <w:rPr>
          <w:sz w:val="24"/>
          <w:szCs w:val="24"/>
          <w:lang w:eastAsia="en-US"/>
        </w:rPr>
      </w:pPr>
      <w:r>
        <w:rPr>
          <w:b/>
          <w:sz w:val="24"/>
          <w:szCs w:val="24"/>
          <w:lang w:eastAsia="en-US"/>
        </w:rPr>
        <w:t>«Коммерческая тайна»</w:t>
      </w:r>
      <w:r>
        <w:rPr>
          <w:sz w:val="24"/>
          <w:szCs w:val="24"/>
          <w:lang w:eastAsia="en-US"/>
        </w:rPr>
        <w:t xml:space="preserve"> – режим конфиденциальности информации, позволяющий </w:t>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br/>
        <w:t xml:space="preserve">или получить иную коммерческую выгоду. </w:t>
      </w:r>
    </w:p>
    <w:p>
      <w:pPr>
        <w:pStyle w:val="ListParagraph"/>
        <w:shd w:val="clear" w:color="auto" w:fill="FFFFFF"/>
        <w:tabs>
          <w:tab w:val="clear" w:pos="708"/>
          <w:tab w:val="left" w:pos="0" w:leader="none"/>
        </w:tabs>
        <w:ind w:left="0" w:firstLine="709"/>
        <w:jc w:val="both"/>
        <w:textAlignment w:val="baseline"/>
        <w:rPr>
          <w:sz w:val="24"/>
          <w:szCs w:val="24"/>
          <w:lang w:eastAsia="en-US"/>
        </w:rPr>
      </w:pPr>
      <w:r>
        <w:rPr>
          <w:b/>
          <w:sz w:val="24"/>
          <w:szCs w:val="24"/>
          <w:lang w:eastAsia="en-US"/>
        </w:rPr>
        <w:t xml:space="preserve">«Накладная ТОРГ-12» </w:t>
      </w:r>
      <w:r>
        <w:rPr>
          <w:sz w:val="24"/>
          <w:szCs w:val="24"/>
          <w:lang w:eastAsia="en-US"/>
        </w:rPr>
        <w:t>–</w:t>
      </w:r>
      <w:r>
        <w:rPr>
          <w:b/>
          <w:sz w:val="24"/>
          <w:szCs w:val="24"/>
          <w:lang w:eastAsia="en-US"/>
        </w:rPr>
        <w:t xml:space="preserve"> </w:t>
      </w:r>
      <w:r>
        <w:rPr>
          <w:sz w:val="24"/>
          <w:szCs w:val="24"/>
          <w:lang w:eastAsia="en-US"/>
        </w:rPr>
        <w:t xml:space="preserve">документ, оформляемый по унифицированной форме </w:t>
        <w:br/>
        <w:t xml:space="preserve">№ ТОРГ-12 «Товарная накладная», утвержденной постановлением Госкомстата РФ </w:t>
        <w:br/>
        <w:t>от 25.12.1998 № 132, подписываемый Сторонами после завершения приемки Товара по количеству, качеству и комплектности.</w:t>
      </w:r>
    </w:p>
    <w:p>
      <w:pPr>
        <w:pStyle w:val="ListParagraph"/>
        <w:shd w:val="clear" w:color="auto" w:fill="FFFFFF"/>
        <w:tabs>
          <w:tab w:val="clear" w:pos="708"/>
          <w:tab w:val="left" w:pos="0" w:leader="none"/>
        </w:tabs>
        <w:ind w:left="0" w:firstLine="709"/>
        <w:jc w:val="both"/>
        <w:textAlignment w:val="baseline"/>
        <w:rPr>
          <w:sz w:val="24"/>
          <w:szCs w:val="24"/>
          <w:lang w:eastAsia="en-US"/>
        </w:rPr>
      </w:pPr>
      <w:r>
        <w:rPr>
          <w:b/>
          <w:sz w:val="24"/>
          <w:szCs w:val="24"/>
          <w:lang w:eastAsia="en-US"/>
        </w:rPr>
        <w:t xml:space="preserve">«Национальный режим» </w:t>
      </w:r>
      <w:r>
        <w:rPr>
          <w:sz w:val="24"/>
          <w:szCs w:val="24"/>
          <w:lang w:eastAsia="en-US"/>
        </w:rPr>
        <w:t>- установленные законодательством Российской Федерации условия, обеспечивающие предоставление (или непредоставление) для происходящей из иностранного государства продукции прав участия в закупке, равных с правами для продукции российского происхождения.</w:t>
      </w:r>
    </w:p>
    <w:p>
      <w:pPr>
        <w:pStyle w:val="ListParagraph"/>
        <w:shd w:val="clear" w:color="auto" w:fill="FFFFFF"/>
        <w:tabs>
          <w:tab w:val="clear" w:pos="708"/>
          <w:tab w:val="left" w:pos="0" w:leader="none"/>
        </w:tabs>
        <w:ind w:left="0" w:firstLine="709"/>
        <w:jc w:val="both"/>
        <w:textAlignment w:val="baseline"/>
        <w:rPr>
          <w:sz w:val="24"/>
          <w:szCs w:val="24"/>
          <w:lang w:eastAsia="en-US"/>
        </w:rPr>
      </w:pPr>
      <w:r>
        <w:rPr>
          <w:b/>
          <w:sz w:val="24"/>
          <w:szCs w:val="24"/>
          <w:lang w:eastAsia="en-US"/>
        </w:rPr>
        <w:t xml:space="preserve">«Отказ от Договора» </w:t>
      </w:r>
      <w:r>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Heading3"/>
        <w:keepNext w:val="false"/>
        <w:tabs>
          <w:tab w:val="clear" w:pos="708"/>
          <w:tab w:val="left" w:pos="0" w:leader="none"/>
        </w:tabs>
        <w:spacing w:before="0" w:after="0"/>
        <w:ind w:firstLine="709"/>
        <w:jc w:val="both"/>
        <w:textAlignment w:val="baseline"/>
        <w:rPr>
          <w:rFonts w:ascii="Times New Roman" w:hAnsi="Times New Roman"/>
          <w:b w:val="false"/>
          <w:color w:val="auto"/>
          <w:sz w:val="24"/>
          <w:szCs w:val="24"/>
          <w:lang w:val="ru-RU" w:eastAsia="en-US"/>
        </w:rPr>
      </w:pPr>
      <w:r>
        <w:rPr>
          <w:rFonts w:ascii="Times New Roman" w:hAnsi="Times New Roman"/>
          <w:color w:val="auto"/>
          <w:sz w:val="24"/>
          <w:szCs w:val="24"/>
          <w:lang w:val="ru-RU" w:eastAsia="en-US"/>
        </w:rPr>
        <w:t>«Применимое право»</w:t>
      </w:r>
      <w:r>
        <w:rPr>
          <w:rFonts w:ascii="Times New Roman" w:hAnsi="Times New Roman"/>
          <w:b w:val="false"/>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p>
    <w:p>
      <w:pPr>
        <w:pStyle w:val="Normal"/>
        <w:ind w:firstLine="708"/>
        <w:jc w:val="both"/>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Normal"/>
        <w:ind w:firstLine="708"/>
        <w:jc w:val="both"/>
        <w:rPr>
          <w:sz w:val="24"/>
          <w:szCs w:val="24"/>
          <w:lang w:eastAsia="en-US"/>
        </w:rPr>
      </w:pPr>
      <w:r>
        <w:rPr>
          <w:b/>
          <w:sz w:val="24"/>
          <w:szCs w:val="24"/>
          <w:lang w:eastAsia="en-US"/>
        </w:rPr>
        <w:t>«Универсальный передаточный документ», «УПД»</w:t>
      </w:r>
      <w:r>
        <w:rPr>
          <w:sz w:val="24"/>
          <w:szCs w:val="24"/>
          <w:lang w:eastAsia="en-US"/>
        </w:rPr>
        <w:t xml:space="preserve"> – форма документа, рекомендованная для применения письмом ФНС России от 21.10.2013 № ММВ-20-3/96@ (объединяет реквизиты счета-фактуры и первичного документа о передаче товаров, работ, услуг).</w:t>
      </w:r>
    </w:p>
    <w:p>
      <w:pPr>
        <w:pStyle w:val="Heading3"/>
        <w:keepNext w:val="false"/>
        <w:tabs>
          <w:tab w:val="clear" w:pos="708"/>
          <w:tab w:val="left" w:pos="0" w:leader="none"/>
        </w:tabs>
        <w:spacing w:before="0" w:after="0"/>
        <w:ind w:firstLine="708"/>
        <w:jc w:val="both"/>
        <w:textAlignment w:val="baseline"/>
        <w:rPr>
          <w:rFonts w:ascii="Times New Roman" w:hAnsi="Times New Roman"/>
          <w:b w:val="false"/>
          <w:color w:val="auto"/>
          <w:sz w:val="24"/>
          <w:szCs w:val="24"/>
          <w:lang w:val="ru-RU" w:eastAsia="en-US"/>
        </w:rPr>
      </w:pPr>
      <w:r>
        <w:rPr>
          <w:rFonts w:ascii="Times New Roman" w:hAnsi="Times New Roman"/>
          <w:color w:val="auto"/>
          <w:sz w:val="24"/>
          <w:szCs w:val="24"/>
          <w:lang w:val="ru-RU" w:eastAsia="en-US"/>
        </w:rPr>
        <w:t>«Цена Договора»</w:t>
      </w:r>
      <w:r>
        <w:rPr>
          <w:rFonts w:ascii="Times New Roman" w:hAnsi="Times New Roman"/>
          <w:b w:val="false"/>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pPr>
        <w:pStyle w:val="Normal"/>
        <w:shd w:val="clear" w:color="auto" w:fill="FFFFFF"/>
        <w:ind w:firstLine="709"/>
        <w:jc w:val="center"/>
        <w:rPr>
          <w:bCs/>
          <w:sz w:val="24"/>
          <w:szCs w:val="24"/>
        </w:rPr>
      </w:pPr>
      <w:r>
        <w:rPr>
          <w:bCs/>
          <w:sz w:val="24"/>
          <w:szCs w:val="24"/>
        </w:rPr>
      </w:r>
    </w:p>
    <w:p>
      <w:pPr>
        <w:pStyle w:val="Normal"/>
        <w:numPr>
          <w:ilvl w:val="0"/>
          <w:numId w:val="2"/>
        </w:numPr>
        <w:shd w:val="clear" w:color="auto" w:fill="FFFFFF"/>
        <w:tabs>
          <w:tab w:val="clear" w:pos="708"/>
          <w:tab w:val="left" w:pos="284" w:leader="none"/>
        </w:tabs>
        <w:ind w:left="0" w:hanging="0"/>
        <w:jc w:val="center"/>
        <w:rPr>
          <w:b/>
          <w:bCs/>
          <w:sz w:val="24"/>
          <w:szCs w:val="24"/>
        </w:rPr>
      </w:pPr>
      <w:r>
        <w:rPr>
          <w:b/>
          <w:bCs/>
          <w:sz w:val="24"/>
          <w:szCs w:val="24"/>
        </w:rPr>
        <w:t>Предмет Договора</w:t>
      </w:r>
    </w:p>
    <w:p>
      <w:pPr>
        <w:pStyle w:val="Normal"/>
        <w:numPr>
          <w:ilvl w:val="1"/>
          <w:numId w:val="2"/>
        </w:numPr>
        <w:shd w:val="clear" w:color="auto" w:fill="FFFFFF"/>
        <w:tabs>
          <w:tab w:val="clear" w:pos="708"/>
          <w:tab w:val="left" w:pos="1134" w:leader="none"/>
        </w:tabs>
        <w:ind w:left="0" w:firstLine="709"/>
        <w:jc w:val="both"/>
        <w:rPr>
          <w:bCs/>
          <w:sz w:val="24"/>
          <w:szCs w:val="24"/>
        </w:rPr>
      </w:pPr>
      <w:r>
        <w:rPr>
          <w:bCs/>
          <w:sz w:val="24"/>
          <w:szCs w:val="24"/>
        </w:rPr>
        <w:t>Поставщик обязуется в порядке и сроки, установленные Договором, передать в собственность Покупателю</w:t>
      </w:r>
      <w:r>
        <w:rPr>
          <w:rFonts w:eastAsia="Calibri"/>
          <w:bCs/>
          <w:sz w:val="24"/>
          <w:szCs w:val="24"/>
          <w:lang w:eastAsia="en-US"/>
        </w:rPr>
        <w:t xml:space="preserve"> МТР для оборудования цепей вторичной коммутации и защит службы РЗАиМ филиала ПАО «РусГидро» - «Жигулевская ГЭС» </w:t>
      </w:r>
      <w:r>
        <w:rPr>
          <w:bCs/>
          <w:sz w:val="24"/>
          <w:szCs w:val="24"/>
        </w:rPr>
        <w:t>(далее – «Товар») в соответствии со Спецификацией (Приложение № 1 к Договору) и Техническими требованиями (Приложение № 2 к Договору), а Покупатель обязуется принять Товар и уплатить Цену Договора.</w:t>
      </w:r>
    </w:p>
    <w:p>
      <w:pPr>
        <w:pStyle w:val="Norma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Поставка Товара по Договору осуществляется для нужд филиала ПАО «РусГидро» - «Жигулевская ГЭС».</w:t>
      </w:r>
    </w:p>
    <w:p>
      <w:pPr>
        <w:pStyle w:val="Norma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Место поставки Товара: филиал ПАО «РусГидро» - «Жигулевская ГЭС», Московское шоссе, д.2, г. Жигулевск, Самарская обл., Российская Федерация, 445350</w:t>
      </w:r>
      <w:r>
        <w:rPr>
          <w:sz w:val="24"/>
          <w:szCs w:val="24"/>
        </w:rPr>
        <w:t xml:space="preserve"> (далее – «Место поставки»).</w:t>
      </w:r>
    </w:p>
    <w:p>
      <w:pPr>
        <w:pStyle w:val="Normal"/>
        <w:numPr>
          <w:ilvl w:val="1"/>
          <w:numId w:val="2"/>
        </w:numPr>
        <w:shd w:val="clear" w:color="auto" w:fill="FFFFFF"/>
        <w:tabs>
          <w:tab w:val="clear" w:pos="708"/>
          <w:tab w:val="left" w:pos="0" w:leader="none"/>
          <w:tab w:val="left" w:pos="540" w:leader="none"/>
          <w:tab w:val="left" w:pos="1134" w:leader="none"/>
        </w:tabs>
        <w:ind w:left="0" w:firstLine="709"/>
        <w:jc w:val="both"/>
        <w:rPr>
          <w:bCs/>
          <w:sz w:val="24"/>
          <w:szCs w:val="24"/>
        </w:rPr>
      </w:pPr>
      <w:r>
        <w:rPr>
          <w:bCs/>
          <w:sz w:val="24"/>
          <w:szCs w:val="24"/>
        </w:rPr>
        <w:t>Общий срок поставки Товара:</w:t>
      </w:r>
    </w:p>
    <w:p>
      <w:pPr>
        <w:pStyle w:val="Normal"/>
        <w:numPr>
          <w:ilvl w:val="2"/>
          <w:numId w:val="2"/>
        </w:numPr>
        <w:shd w:val="clear" w:color="auto" w:fill="FFFFFF"/>
        <w:tabs>
          <w:tab w:val="clear" w:pos="708"/>
          <w:tab w:val="left" w:pos="0" w:leader="none"/>
          <w:tab w:val="left" w:pos="1134" w:leader="none"/>
          <w:tab w:val="left" w:pos="1418" w:leader="none"/>
        </w:tabs>
        <w:ind w:left="0" w:firstLine="709"/>
        <w:jc w:val="both"/>
        <w:rPr>
          <w:bCs/>
          <w:sz w:val="24"/>
          <w:szCs w:val="24"/>
        </w:rPr>
      </w:pPr>
      <w:r>
        <w:rPr>
          <w:bCs/>
          <w:sz w:val="24"/>
          <w:szCs w:val="24"/>
        </w:rPr>
        <w:t>Начало – с даты подписания Договора.</w:t>
      </w:r>
    </w:p>
    <w:p>
      <w:pPr>
        <w:pStyle w:val="Normal"/>
        <w:numPr>
          <w:ilvl w:val="2"/>
          <w:numId w:val="2"/>
        </w:numPr>
        <w:shd w:val="clear" w:color="auto" w:fill="FFFFFF"/>
        <w:tabs>
          <w:tab w:val="clear" w:pos="708"/>
          <w:tab w:val="left" w:pos="0" w:leader="none"/>
          <w:tab w:val="left" w:pos="1134" w:leader="none"/>
          <w:tab w:val="left" w:pos="1418" w:leader="none"/>
        </w:tabs>
        <w:ind w:left="0" w:firstLine="709"/>
        <w:jc w:val="both"/>
        <w:rPr>
          <w:bCs/>
          <w:sz w:val="24"/>
          <w:szCs w:val="24"/>
        </w:rPr>
      </w:pPr>
      <w:r>
        <w:rPr>
          <w:bCs/>
          <w:sz w:val="24"/>
          <w:szCs w:val="24"/>
        </w:rPr>
        <w:t xml:space="preserve">Окончание – </w:t>
      </w:r>
      <w:r>
        <w:rPr>
          <w:bCs/>
          <w:sz w:val="24"/>
          <w:szCs w:val="24"/>
        </w:rPr>
        <w:t>до 15.12.2026 г</w:t>
      </w:r>
      <w:r>
        <w:rPr>
          <w:bCs/>
          <w:sz w:val="24"/>
          <w:szCs w:val="24"/>
        </w:rPr>
        <w:t>.</w:t>
      </w:r>
    </w:p>
    <w:p>
      <w:pPr>
        <w:pStyle w:val="Norma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Поставка одноэтапная в соответствии со сроком, указанным в п. 1.4</w:t>
      </w:r>
    </w:p>
    <w:p>
      <w:pPr>
        <w:pStyle w:val="Normal"/>
        <w:shd w:val="clear" w:color="auto" w:fill="FFFFFF"/>
        <w:tabs>
          <w:tab w:val="clear" w:pos="708"/>
          <w:tab w:val="left" w:pos="540" w:leader="none"/>
        </w:tabs>
        <w:ind w:left="1134" w:hanging="0"/>
        <w:jc w:val="both"/>
        <w:rPr>
          <w:sz w:val="24"/>
          <w:szCs w:val="24"/>
        </w:rPr>
      </w:pPr>
      <w:r>
        <w:rPr>
          <w:sz w:val="24"/>
          <w:szCs w:val="24"/>
        </w:rPr>
      </w:r>
    </w:p>
    <w:p>
      <w:pPr>
        <w:pStyle w:val="Normal"/>
        <w:numPr>
          <w:ilvl w:val="0"/>
          <w:numId w:val="2"/>
        </w:numPr>
        <w:shd w:val="clear" w:color="auto" w:fill="FFFFFF"/>
        <w:tabs>
          <w:tab w:val="clear" w:pos="708"/>
          <w:tab w:val="left" w:pos="284" w:leader="none"/>
        </w:tabs>
        <w:ind w:left="0" w:hanging="0"/>
        <w:jc w:val="center"/>
        <w:rPr>
          <w:b/>
          <w:bCs/>
          <w:sz w:val="24"/>
          <w:szCs w:val="24"/>
        </w:rPr>
      </w:pPr>
      <w:r>
        <w:rPr>
          <w:b/>
          <w:bCs/>
          <w:sz w:val="24"/>
          <w:szCs w:val="24"/>
        </w:rPr>
        <w:t>Цена Договора и порядок расчетов</w:t>
      </w:r>
    </w:p>
    <w:p>
      <w:pPr>
        <w:pStyle w:val="Normal"/>
        <w:numPr>
          <w:ilvl w:val="1"/>
          <w:numId w:val="2"/>
        </w:numPr>
        <w:shd w:val="clear" w:color="auto" w:fill="FFFFFF"/>
        <w:tabs>
          <w:tab w:val="clear" w:pos="708"/>
          <w:tab w:val="left" w:pos="0" w:leader="none"/>
          <w:tab w:val="left" w:pos="1134" w:leader="none"/>
        </w:tabs>
        <w:ind w:left="0" w:firstLine="709"/>
        <w:jc w:val="both"/>
        <w:rPr>
          <w:bCs/>
          <w:sz w:val="24"/>
          <w:szCs w:val="24"/>
        </w:rPr>
      </w:pPr>
      <w:r>
        <w:rPr>
          <w:sz w:val="24"/>
          <w:szCs w:val="24"/>
        </w:rPr>
        <w:t xml:space="preserve">Цена Договора в соответствии со Спецификацией (Приложение № 1 к Договору) </w:t>
      </w:r>
      <w:r>
        <w:rPr>
          <w:bCs/>
          <w:sz w:val="24"/>
          <w:szCs w:val="24"/>
        </w:rPr>
        <w:t>является т</w:t>
      </w:r>
      <w:r>
        <w:rPr>
          <w:bCs/>
          <w:sz w:val="24"/>
          <w:szCs w:val="24"/>
          <w:highlight w:val="lightGray"/>
        </w:rPr>
        <w:t>вердой</w:t>
      </w:r>
      <w:r>
        <w:rPr>
          <w:bCs/>
          <w:sz w:val="24"/>
          <w:szCs w:val="24"/>
        </w:rPr>
        <w:t xml:space="preserve"> и составляет</w:t>
      </w:r>
      <w:r>
        <w:rPr>
          <w:sz w:val="24"/>
          <w:szCs w:val="24"/>
        </w:rPr>
        <w:t xml:space="preserve"> _______________ (__________) рубля ___ копеек</w:t>
      </w:r>
      <w:r>
        <w:rPr>
          <w:bCs/>
          <w:sz w:val="24"/>
          <w:szCs w:val="24"/>
        </w:rPr>
        <w:t xml:space="preserve"> без учета НДС, при этом НДС исчисляется дополнительно по ставке, установленной ст. 164 Налогового Кодекса Российской Федерации (далее - НК РФ).</w:t>
      </w:r>
    </w:p>
    <w:p>
      <w:pPr>
        <w:pStyle w:val="Norma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 xml:space="preserve">  </w:t>
      </w:r>
      <w:r>
        <w:rPr>
          <w:bCs/>
          <w:sz w:val="24"/>
          <w:szCs w:val="24"/>
        </w:rPr>
        <w:t xml:space="preserve">Цена Договора включает в себя прибыль Поставщика, а также все расходы и затраты Поставщика на: </w:t>
      </w:r>
    </w:p>
    <w:p>
      <w:pPr>
        <w:pStyle w:val="Normal"/>
        <w:numPr>
          <w:ilvl w:val="2"/>
          <w:numId w:val="2"/>
        </w:numPr>
        <w:shd w:val="clear" w:color="auto" w:fill="FFFFFF"/>
        <w:tabs>
          <w:tab w:val="clear" w:pos="708"/>
          <w:tab w:val="left" w:pos="1418" w:leader="none"/>
        </w:tabs>
        <w:ind w:left="0" w:firstLine="709"/>
        <w:jc w:val="both"/>
        <w:rPr>
          <w:bCs/>
          <w:sz w:val="24"/>
          <w:szCs w:val="24"/>
          <w:highlight w:val="lightGray"/>
        </w:rPr>
      </w:pPr>
      <w:r>
        <w:rPr>
          <w:bCs/>
          <w:sz w:val="24"/>
          <w:szCs w:val="24"/>
          <w:highlight w:val="lightGray"/>
        </w:rPr>
        <w:t>производство и / или приобретение Товара;</w:t>
      </w:r>
    </w:p>
    <w:p>
      <w:pPr>
        <w:pStyle w:val="Normal"/>
        <w:numPr>
          <w:ilvl w:val="2"/>
          <w:numId w:val="2"/>
        </w:numPr>
        <w:shd w:val="clear" w:color="auto" w:fill="FFFFFF"/>
        <w:tabs>
          <w:tab w:val="clear" w:pos="708"/>
          <w:tab w:val="left" w:pos="1418" w:leader="none"/>
        </w:tabs>
        <w:ind w:left="0" w:firstLine="709"/>
        <w:jc w:val="both"/>
        <w:rPr>
          <w:bCs/>
          <w:sz w:val="24"/>
          <w:szCs w:val="24"/>
          <w:highlight w:val="lightGray"/>
        </w:rPr>
      </w:pPr>
      <w:r>
        <w:rPr>
          <w:bCs/>
          <w:sz w:val="24"/>
          <w:szCs w:val="24"/>
        </w:rPr>
        <w:t>транспортировку Товара до Места поставки, погрузку, разгрузку, перемещение по территории Покупателя</w:t>
      </w:r>
      <w:r>
        <w:rPr>
          <w:rStyle w:val="FootnoteReference"/>
          <w:sz w:val="24"/>
          <w:szCs w:val="24"/>
        </w:rPr>
        <w:footnoteReference w:id="2"/>
      </w:r>
      <w:r>
        <w:rPr>
          <w:bCs/>
          <w:sz w:val="24"/>
          <w:szCs w:val="24"/>
        </w:rPr>
        <w:t xml:space="preserve">, стоимость тары и упаковки, лицензий, необходимых для использования Товара (если применимо); </w:t>
      </w:r>
    </w:p>
    <w:p>
      <w:pPr>
        <w:pStyle w:val="Normal"/>
        <w:numPr>
          <w:ilvl w:val="2"/>
          <w:numId w:val="2"/>
        </w:numPr>
        <w:shd w:val="clear" w:color="auto" w:fill="FFFFFF"/>
        <w:tabs>
          <w:tab w:val="clear" w:pos="708"/>
          <w:tab w:val="left" w:pos="1418" w:leader="none"/>
        </w:tabs>
        <w:ind w:left="0" w:firstLine="709"/>
        <w:jc w:val="both"/>
        <w:rPr>
          <w:bCs/>
          <w:sz w:val="24"/>
          <w:szCs w:val="24"/>
        </w:rPr>
      </w:pPr>
      <w:r>
        <w:rPr>
          <w:bCs/>
          <w:sz w:val="24"/>
          <w:szCs w:val="24"/>
        </w:rPr>
        <w:t>подлежащие уплате налоги, сборы и пошлины (в том числе по таможенному оформлению Товара, если применимо)</w:t>
      </w:r>
      <w:r>
        <w:rPr>
          <w:bCs/>
          <w:sz w:val="24"/>
          <w:szCs w:val="24"/>
          <w:lang w:val="en-US"/>
        </w:rPr>
        <w:t>;</w:t>
      </w:r>
    </w:p>
    <w:p>
      <w:pPr>
        <w:pStyle w:val="Normal"/>
        <w:numPr>
          <w:ilvl w:val="2"/>
          <w:numId w:val="2"/>
        </w:numPr>
        <w:shd w:val="clear" w:color="auto" w:fill="FFFFFF"/>
        <w:tabs>
          <w:tab w:val="clear" w:pos="708"/>
          <w:tab w:val="left" w:pos="1418" w:leader="none"/>
        </w:tabs>
        <w:ind w:left="0" w:firstLine="709"/>
        <w:jc w:val="both"/>
        <w:rPr>
          <w:bCs/>
          <w:sz w:val="24"/>
          <w:szCs w:val="24"/>
        </w:rPr>
      </w:pPr>
      <w:r>
        <w:rPr>
          <w:bCs/>
          <w:sz w:val="24"/>
          <w:szCs w:val="24"/>
        </w:rPr>
        <w:t xml:space="preserve">заработную плату, накладные и командировочные расходы, перемещение и размещение персонала Поставщика; </w:t>
      </w:r>
    </w:p>
    <w:p>
      <w:pPr>
        <w:pStyle w:val="Normal"/>
        <w:numPr>
          <w:ilvl w:val="2"/>
          <w:numId w:val="2"/>
        </w:numPr>
        <w:shd w:val="clear" w:color="auto" w:fill="FFFFFF"/>
        <w:tabs>
          <w:tab w:val="clear" w:pos="708"/>
          <w:tab w:val="left" w:pos="1418" w:leader="none"/>
        </w:tabs>
        <w:ind w:left="0" w:firstLine="709"/>
        <w:jc w:val="both"/>
        <w:rPr>
          <w:bCs/>
          <w:sz w:val="24"/>
          <w:szCs w:val="24"/>
        </w:rPr>
      </w:pPr>
      <w:r>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pPr>
        <w:pStyle w:val="Normal"/>
        <w:numPr>
          <w:ilvl w:val="1"/>
          <w:numId w:val="2"/>
        </w:numPr>
        <w:shd w:val="clear" w:color="auto" w:fill="FFFFFF"/>
        <w:tabs>
          <w:tab w:val="clear" w:pos="708"/>
          <w:tab w:val="left" w:pos="568" w:leader="none"/>
          <w:tab w:val="left" w:pos="1134" w:leader="none"/>
        </w:tabs>
        <w:ind w:left="0" w:firstLine="709"/>
        <w:jc w:val="both"/>
        <w:rPr>
          <w:sz w:val="24"/>
          <w:szCs w:val="24"/>
        </w:rPr>
      </w:pPr>
      <w:r>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Normal"/>
        <w:numPr>
          <w:ilvl w:val="1"/>
          <w:numId w:val="2"/>
        </w:numPr>
        <w:shd w:val="clear" w:color="auto" w:fill="FFFFFF"/>
        <w:tabs>
          <w:tab w:val="clear" w:pos="708"/>
          <w:tab w:val="left" w:pos="0" w:leader="none"/>
          <w:tab w:val="left" w:pos="1134" w:leader="none"/>
        </w:tabs>
        <w:ind w:left="0" w:firstLine="709"/>
        <w:jc w:val="both"/>
        <w:rPr>
          <w:sz w:val="24"/>
          <w:szCs w:val="24"/>
        </w:rPr>
      </w:pPr>
      <w:r>
        <w:rPr>
          <w:sz w:val="24"/>
          <w:szCs w:val="24"/>
        </w:rPr>
        <w:t xml:space="preserve">Оплата по Договору осуществляется Покупателем в следующем порядке: </w:t>
      </w:r>
    </w:p>
    <w:p>
      <w:pPr>
        <w:pStyle w:val="Normal"/>
        <w:shd w:val="clear" w:color="auto" w:fill="FFFFFF"/>
        <w:tabs>
          <w:tab w:val="clear" w:pos="708"/>
          <w:tab w:val="left" w:pos="0" w:leader="none"/>
          <w:tab w:val="left" w:pos="1134" w:leader="none"/>
        </w:tabs>
        <w:ind w:firstLine="709"/>
        <w:jc w:val="both"/>
        <w:rPr>
          <w:sz w:val="24"/>
          <w:szCs w:val="24"/>
        </w:rPr>
      </w:pPr>
      <w:r>
        <w:rPr>
          <w:sz w:val="24"/>
          <w:szCs w:val="24"/>
        </w:rPr>
        <w:t>2.4.1 Авансовый платеж за Товар в размере 30 (тридцати) процентов от стоимости Товара без учета НДС, кроме того НДС по ставке, установленной статьей 164 НК РФ на дату выплаты авансового платежа, выплачивается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плановой даты поставки Товара, и с учетом пункта 2.4.3 Договора.</w:t>
      </w:r>
    </w:p>
    <w:p>
      <w:pPr>
        <w:pStyle w:val="Normal"/>
        <w:shd w:val="clear" w:color="auto" w:fill="FFFFFF"/>
        <w:tabs>
          <w:tab w:val="clear" w:pos="708"/>
          <w:tab w:val="left" w:pos="0" w:leader="none"/>
          <w:tab w:val="left" w:pos="1134" w:leader="none"/>
        </w:tabs>
        <w:ind w:firstLine="709"/>
        <w:jc w:val="both"/>
        <w:rPr>
          <w:sz w:val="24"/>
          <w:szCs w:val="24"/>
        </w:rPr>
      </w:pPr>
      <w:r>
        <w:rPr>
          <w:sz w:val="24"/>
          <w:szCs w:val="24"/>
        </w:rPr>
        <w:t>2.4.2. Последующий платеж в размере 70 % (семидесяти процентов) от стоимости Товара</w:t>
      </w:r>
      <w:r>
        <w:rPr/>
        <w:t xml:space="preserve"> </w:t>
      </w:r>
      <w:r>
        <w:rPr>
          <w:sz w:val="24"/>
          <w:szCs w:val="24"/>
        </w:rPr>
        <w:t>без учета НДС, кроме того НДС по ставке, установленной статьей 164 НК РФ на дату подписания Сторонами Накладной ТОРГ-12/УПД, выплачивается Поставщику в течение 7 (семи) рабочих дней с даты подписания Сторонами Накладной ТОРГ-12/УПД, на основании счета, выставленного Поставщиком, и с учетом пункта 2.4.3 Договора.</w:t>
      </w:r>
    </w:p>
    <w:p>
      <w:pPr>
        <w:pStyle w:val="Normal"/>
        <w:shd w:val="clear" w:color="auto" w:fill="FFFFFF"/>
        <w:tabs>
          <w:tab w:val="clear" w:pos="708"/>
          <w:tab w:val="left" w:pos="0" w:leader="none"/>
          <w:tab w:val="left" w:pos="1134" w:leader="none"/>
        </w:tabs>
        <w:ind w:firstLine="709"/>
        <w:jc w:val="both"/>
        <w:rPr>
          <w:sz w:val="24"/>
          <w:szCs w:val="24"/>
        </w:rPr>
      </w:pPr>
      <w:r>
        <w:rPr>
          <w:sz w:val="24"/>
          <w:szCs w:val="24"/>
        </w:rPr>
        <w:t>2.4.3. 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pPr>
        <w:pStyle w:val="Normal"/>
        <w:numPr>
          <w:ilvl w:val="1"/>
          <w:numId w:val="2"/>
        </w:numPr>
        <w:shd w:val="clear" w:color="auto" w:fill="FFFFFF"/>
        <w:tabs>
          <w:tab w:val="clear" w:pos="708"/>
          <w:tab w:val="left" w:pos="0" w:leader="none"/>
          <w:tab w:val="left" w:pos="567" w:leader="none"/>
          <w:tab w:val="left" w:pos="716" w:leader="none"/>
          <w:tab w:val="left" w:pos="1134" w:leader="none"/>
        </w:tabs>
        <w:ind w:left="0" w:firstLine="709"/>
        <w:jc w:val="both"/>
        <w:rPr>
          <w:sz w:val="24"/>
          <w:szCs w:val="24"/>
        </w:rPr>
      </w:pPr>
      <w:r>
        <w:rPr>
          <w:sz w:val="24"/>
          <w:szCs w:val="24"/>
        </w:rPr>
        <w:t>Индексация Цены Договора не допускается.</w:t>
      </w:r>
    </w:p>
    <w:p>
      <w:pPr>
        <w:pStyle w:val="Normal"/>
        <w:numPr>
          <w:ilvl w:val="1"/>
          <w:numId w:val="2"/>
        </w:numPr>
        <w:shd w:val="clear" w:color="auto" w:fill="FFFFFF"/>
        <w:tabs>
          <w:tab w:val="clear" w:pos="708"/>
          <w:tab w:val="left" w:pos="0" w:leader="none"/>
          <w:tab w:val="left" w:pos="567" w:leader="none"/>
          <w:tab w:val="left" w:pos="716" w:leader="none"/>
          <w:tab w:val="left" w:pos="1134" w:leader="none"/>
        </w:tabs>
        <w:ind w:left="0" w:firstLine="709"/>
        <w:jc w:val="both"/>
        <w:rPr>
          <w:sz w:val="24"/>
          <w:szCs w:val="24"/>
        </w:rPr>
      </w:pPr>
      <w:r>
        <w:rPr>
          <w:sz w:val="24"/>
          <w:szCs w:val="24"/>
        </w:rPr>
        <w:t xml:space="preserve">Поставщик обязан представить Покупателю счета-фактуры/УПД, выставленные в сроки и оформленные в порядке, установленном законодательством Российской Федерации. </w:t>
      </w:r>
    </w:p>
    <w:p>
      <w:pPr>
        <w:pStyle w:val="Normal"/>
        <w:shd w:val="clear" w:color="auto" w:fill="FFFFFF"/>
        <w:tabs>
          <w:tab w:val="clear" w:pos="708"/>
          <w:tab w:val="left" w:pos="0" w:leader="none"/>
          <w:tab w:val="left" w:pos="567" w:leader="none"/>
          <w:tab w:val="left" w:pos="716" w:leader="none"/>
          <w:tab w:val="left" w:pos="1134" w:leader="none"/>
        </w:tabs>
        <w:ind w:firstLine="709"/>
        <w:jc w:val="both"/>
        <w:rPr>
          <w:sz w:val="24"/>
          <w:szCs w:val="24"/>
        </w:rPr>
      </w:pPr>
      <w:r>
        <w:rPr>
          <w:sz w:val="24"/>
          <w:szCs w:val="24"/>
        </w:rPr>
        <w:t xml:space="preserve">В случае нарушения Поставщиком данного требования, он обязан произвести замену счета-фактуры/УПД в течение 3 (трех) рабочих дней с даты получения соответствующего письменного требования Покупателя. </w:t>
      </w:r>
    </w:p>
    <w:p>
      <w:pPr>
        <w:pStyle w:val="Normal"/>
        <w:shd w:val="clear" w:color="auto" w:fill="FFFFFF"/>
        <w:tabs>
          <w:tab w:val="clear" w:pos="708"/>
          <w:tab w:val="left" w:pos="0" w:leader="none"/>
          <w:tab w:val="left" w:pos="567" w:leader="none"/>
          <w:tab w:val="left" w:pos="716" w:leader="none"/>
          <w:tab w:val="left" w:pos="1134" w:leader="none"/>
        </w:tabs>
        <w:ind w:firstLine="709"/>
        <w:jc w:val="both"/>
        <w:rPr>
          <w:sz w:val="24"/>
          <w:szCs w:val="24"/>
        </w:rPr>
      </w:pPr>
      <w:r>
        <w:rPr>
          <w:sz w:val="24"/>
          <w:szCs w:val="24"/>
        </w:rPr>
        <w:t>В случае непредставления Поставщиком в течение 5 (пяти) календарных дней с даты получения авансового платежа счета-фактуры/УПД,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pPr>
        <w:pStyle w:val="ListParagraph"/>
        <w:numPr>
          <w:ilvl w:val="1"/>
          <w:numId w:val="2"/>
        </w:numPr>
        <w:tabs>
          <w:tab w:val="clear" w:pos="708"/>
          <w:tab w:val="left" w:pos="1276" w:leader="none"/>
        </w:tabs>
        <w:suppressAutoHyphens w:val="false"/>
        <w:ind w:left="0" w:firstLine="709"/>
        <w:jc w:val="both"/>
        <w:rPr>
          <w:sz w:val="24"/>
          <w:szCs w:val="24"/>
        </w:rPr>
      </w:pPr>
      <w:r>
        <w:rPr>
          <w:sz w:val="24"/>
          <w:szCs w:val="24"/>
        </w:rPr>
        <w:t>Поставщик обязан подписать акты сверки взаимных расчетов, направленные Покупателем в 2 (двух) экземплярах, и вернуть 1 (один) экземпляр Покупателю в течение 5 (пяти) рабочих дней с даты получения экземпляров актов сверки расчетов от Покупателя.</w:t>
      </w:r>
    </w:p>
    <w:p>
      <w:pPr>
        <w:pStyle w:val="Normal"/>
        <w:numPr>
          <w:ilvl w:val="1"/>
          <w:numId w:val="2"/>
        </w:numPr>
        <w:shd w:val="clear" w:color="auto" w:fill="FFFFFF"/>
        <w:tabs>
          <w:tab w:val="clear" w:pos="708"/>
          <w:tab w:val="left" w:pos="0" w:leader="none"/>
          <w:tab w:val="left" w:pos="567" w:leader="none"/>
          <w:tab w:val="left" w:pos="716" w:leader="none"/>
          <w:tab w:val="left" w:pos="851" w:leader="none"/>
          <w:tab w:val="left" w:pos="1134" w:leader="none"/>
        </w:tabs>
        <w:ind w:left="0" w:firstLine="709"/>
        <w:jc w:val="both"/>
        <w:rPr>
          <w:sz w:val="24"/>
          <w:szCs w:val="24"/>
        </w:rPr>
      </w:pPr>
      <w:r>
        <w:rPr>
          <w:sz w:val="24"/>
          <w:szCs w:val="24"/>
        </w:rPr>
        <w:t xml:space="preserve">  </w:t>
      </w:r>
      <w:r>
        <w:rPr>
          <w:sz w:val="24"/>
          <w:szCs w:val="24"/>
        </w:rPr>
        <w:t>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Товара, поставленного Поставщиком.</w:t>
      </w:r>
      <w:r>
        <w:rPr>
          <w:sz w:val="24"/>
        </w:rPr>
        <w:t xml:space="preserve"> </w:t>
      </w:r>
    </w:p>
    <w:p>
      <w:pPr>
        <w:pStyle w:val="Normal"/>
        <w:ind w:firstLine="709"/>
        <w:jc w:val="both"/>
        <w:rPr>
          <w:sz w:val="24"/>
          <w:szCs w:val="24"/>
        </w:rPr>
      </w:pPr>
      <w:r>
        <w:rPr>
          <w:sz w:val="24"/>
        </w:rPr>
        <w:t>Покупатель направляет Поставщику уведомление о проведении сальдо взаимных обязательств Сторон по Договору.</w:t>
      </w:r>
    </w:p>
    <w:p>
      <w:pPr>
        <w:pStyle w:val="Normal"/>
        <w:rPr>
          <w:sz w:val="24"/>
          <w:szCs w:val="24"/>
        </w:rPr>
      </w:pPr>
      <w:r>
        <w:rPr>
          <w:sz w:val="24"/>
          <w:szCs w:val="24"/>
        </w:rPr>
      </w:r>
    </w:p>
    <w:p>
      <w:pPr>
        <w:pStyle w:val="Normal"/>
        <w:numPr>
          <w:ilvl w:val="0"/>
          <w:numId w:val="2"/>
        </w:numPr>
        <w:shd w:val="clear" w:color="auto" w:fill="FFFFFF"/>
        <w:tabs>
          <w:tab w:val="clear" w:pos="708"/>
          <w:tab w:val="left" w:pos="284" w:leader="none"/>
        </w:tabs>
        <w:ind w:left="0" w:hanging="0"/>
        <w:jc w:val="center"/>
        <w:rPr>
          <w:b/>
          <w:bCs/>
          <w:sz w:val="24"/>
          <w:szCs w:val="24"/>
        </w:rPr>
      </w:pPr>
      <w:r>
        <w:rPr>
          <w:b/>
          <w:bCs/>
          <w:sz w:val="24"/>
          <w:szCs w:val="24"/>
        </w:rPr>
        <w:t>Порядок поставки и приемки Товара</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sz w:val="24"/>
          <w:szCs w:val="24"/>
        </w:rPr>
        <w:t>Поставка Товара осуществляется в Место поставки, указанное в пункте 1.3 Договора.</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Покупателя,</w:t>
      </w:r>
      <w:r>
        <w:rPr>
          <w:b/>
          <w:bCs/>
          <w:sz w:val="24"/>
          <w:szCs w:val="24"/>
        </w:rPr>
        <w:t xml:space="preserve"> </w:t>
      </w:r>
      <w:r>
        <w:rPr>
          <w:bCs/>
          <w:sz w:val="24"/>
          <w:szCs w:val="24"/>
        </w:rPr>
        <w:t>в том числе, указанным в Спецификации (Приложение № 1 к Договору), а также Применимого права.</w:t>
      </w:r>
    </w:p>
    <w:p>
      <w:pPr>
        <w:pStyle w:val="Normal"/>
        <w:widowControl/>
        <w:shd w:val="clear" w:color="auto" w:fill="FFFFFF"/>
        <w:tabs>
          <w:tab w:val="clear" w:pos="708"/>
          <w:tab w:val="left" w:pos="1134" w:leader="none"/>
        </w:tabs>
        <w:ind w:firstLine="709"/>
        <w:jc w:val="both"/>
        <w:rPr>
          <w:bCs/>
          <w:sz w:val="24"/>
          <w:szCs w:val="24"/>
        </w:rPr>
      </w:pPr>
      <w:r>
        <w:rPr>
          <w:bCs/>
          <w:sz w:val="24"/>
          <w:szCs w:val="24"/>
          <w:highlight w:val="lightGray"/>
        </w:rPr>
        <w:t xml:space="preserve">Поставщик не вправе производить </w:t>
      </w:r>
      <w:r>
        <w:rPr>
          <w:sz w:val="24"/>
          <w:szCs w:val="24"/>
          <w:highlight w:val="lightGray"/>
        </w:rPr>
        <w:t>замену Товара, содержащегося в одном из реестров, предусмотренных пунктом 2 постановления Правительства РФ от 03.12.2020 № 2013 «О минимальной доле закупок товаров российского происхождения» на иной Товар, не включенный в такие реестры.</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 xml:space="preserve">Одновременно с передачей Товара Поставщик обязан передать Покупателю оригиналы следующих относящихся к Товару документов: </w:t>
      </w:r>
    </w:p>
    <w:p>
      <w:pPr>
        <w:pStyle w:val="Normal"/>
        <w:numPr>
          <w:ilvl w:val="0"/>
          <w:numId w:val="10"/>
        </w:numPr>
        <w:tabs>
          <w:tab w:val="clear" w:pos="708"/>
          <w:tab w:val="left" w:pos="1418" w:leader="none"/>
        </w:tabs>
        <w:ind w:left="0" w:firstLine="709"/>
        <w:jc w:val="both"/>
        <w:rPr>
          <w:sz w:val="24"/>
          <w:szCs w:val="24"/>
        </w:rPr>
      </w:pPr>
      <w:r>
        <w:rPr>
          <w:sz w:val="24"/>
          <w:szCs w:val="24"/>
        </w:rPr>
        <w:t>сертификат качества в 1 (одном) экз.;</w:t>
      </w:r>
    </w:p>
    <w:p>
      <w:pPr>
        <w:pStyle w:val="Normal"/>
        <w:numPr>
          <w:ilvl w:val="0"/>
          <w:numId w:val="10"/>
        </w:numPr>
        <w:tabs>
          <w:tab w:val="clear" w:pos="708"/>
          <w:tab w:val="left" w:pos="1418" w:leader="none"/>
        </w:tabs>
        <w:ind w:left="0" w:firstLine="709"/>
        <w:jc w:val="both"/>
        <w:rPr>
          <w:sz w:val="24"/>
          <w:szCs w:val="24"/>
        </w:rPr>
      </w:pPr>
      <w:r>
        <w:rPr>
          <w:sz w:val="24"/>
          <w:szCs w:val="24"/>
        </w:rPr>
        <w:t>технический паспорт на русском языке в 1 (одном) экз.;</w:t>
      </w:r>
    </w:p>
    <w:p>
      <w:pPr>
        <w:pStyle w:val="Normal"/>
        <w:numPr>
          <w:ilvl w:val="0"/>
          <w:numId w:val="10"/>
        </w:numPr>
        <w:tabs>
          <w:tab w:val="clear" w:pos="708"/>
          <w:tab w:val="left" w:pos="1418" w:leader="none"/>
        </w:tabs>
        <w:ind w:left="0" w:firstLine="709"/>
        <w:jc w:val="both"/>
        <w:rPr>
          <w:sz w:val="24"/>
          <w:szCs w:val="24"/>
        </w:rPr>
      </w:pPr>
      <w:r>
        <w:rPr>
          <w:sz w:val="24"/>
          <w:szCs w:val="24"/>
        </w:rPr>
        <w:t>инструкция по эксплуатации на русском языке в 1 (одном) экз.;</w:t>
      </w:r>
    </w:p>
    <w:p>
      <w:pPr>
        <w:pStyle w:val="Normal"/>
        <w:numPr>
          <w:ilvl w:val="0"/>
          <w:numId w:val="10"/>
        </w:numPr>
        <w:tabs>
          <w:tab w:val="clear" w:pos="708"/>
          <w:tab w:val="left" w:pos="1418" w:leader="none"/>
        </w:tabs>
        <w:ind w:left="0" w:firstLine="709"/>
        <w:jc w:val="both"/>
        <w:rPr>
          <w:sz w:val="24"/>
          <w:szCs w:val="24"/>
        </w:rPr>
      </w:pPr>
      <w:r>
        <w:rPr>
          <w:sz w:val="24"/>
          <w:szCs w:val="24"/>
        </w:rPr>
        <w:t>упаковочный лист в 1 (одном) экз.;</w:t>
      </w:r>
    </w:p>
    <w:p>
      <w:pPr>
        <w:pStyle w:val="Normal"/>
        <w:numPr>
          <w:ilvl w:val="0"/>
          <w:numId w:val="9"/>
        </w:numPr>
        <w:tabs>
          <w:tab w:val="clear" w:pos="708"/>
          <w:tab w:val="left" w:pos="1418" w:leader="none"/>
        </w:tabs>
        <w:ind w:left="0" w:firstLine="709"/>
        <w:jc w:val="both"/>
        <w:rPr>
          <w:sz w:val="24"/>
          <w:szCs w:val="24"/>
        </w:rPr>
      </w:pPr>
      <w:r>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и т.п.) в зависимости от номенклатуры поставляемого Товара;</w:t>
      </w:r>
    </w:p>
    <w:p>
      <w:pPr>
        <w:pStyle w:val="Normal"/>
        <w:numPr>
          <w:ilvl w:val="0"/>
          <w:numId w:val="9"/>
        </w:numPr>
        <w:tabs>
          <w:tab w:val="clear" w:pos="708"/>
          <w:tab w:val="left" w:pos="709" w:leader="none"/>
          <w:tab w:val="left" w:pos="1418" w:leader="none"/>
        </w:tabs>
        <w:ind w:left="0" w:firstLine="709"/>
        <w:jc w:val="both"/>
        <w:rPr>
          <w:sz w:val="24"/>
          <w:szCs w:val="24"/>
        </w:rPr>
      </w:pPr>
      <w:r>
        <w:rPr>
          <w:sz w:val="24"/>
          <w:szCs w:val="24"/>
        </w:rPr>
        <w:t>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1 (одном) экз.;</w:t>
      </w:r>
    </w:p>
    <w:p>
      <w:pPr>
        <w:pStyle w:val="Normal"/>
        <w:numPr>
          <w:ilvl w:val="0"/>
          <w:numId w:val="9"/>
        </w:numPr>
        <w:shd w:val="clear" w:color="auto" w:fill="FFFFFF"/>
        <w:tabs>
          <w:tab w:val="clear" w:pos="708"/>
          <w:tab w:val="left" w:pos="1418" w:leader="none"/>
        </w:tabs>
        <w:ind w:left="0" w:firstLine="709"/>
        <w:jc w:val="both"/>
        <w:rPr>
          <w:sz w:val="24"/>
          <w:szCs w:val="24"/>
        </w:rPr>
      </w:pPr>
      <w:r>
        <w:rPr>
          <w:sz w:val="24"/>
          <w:szCs w:val="24"/>
        </w:rPr>
        <w:t>Накладная ТОРГ-12/УПД в 2 (двух) экз.</w:t>
      </w:r>
    </w:p>
    <w:p>
      <w:pPr>
        <w:pStyle w:val="ListParagraph"/>
        <w:widowControl/>
        <w:numPr>
          <w:ilvl w:val="1"/>
          <w:numId w:val="2"/>
        </w:numPr>
        <w:shd w:val="clear" w:color="auto" w:fill="FFFFFF"/>
        <w:tabs>
          <w:tab w:val="clear" w:pos="708"/>
          <w:tab w:val="left" w:pos="1134" w:leader="none"/>
          <w:tab w:val="left" w:pos="1418" w:leader="none"/>
        </w:tabs>
        <w:ind w:left="0" w:firstLine="709"/>
        <w:jc w:val="both"/>
        <w:rPr>
          <w:bCs/>
          <w:sz w:val="24"/>
          <w:szCs w:val="24"/>
        </w:rPr>
      </w:pPr>
      <w:r>
        <w:rPr>
          <w:bCs/>
          <w:sz w:val="24"/>
          <w:szCs w:val="24"/>
        </w:rPr>
        <w:t xml:space="preserve"> </w:t>
      </w:r>
      <w:bookmarkStart w:id="0" w:name="_Ref361408232"/>
      <w:bookmarkStart w:id="1" w:name="_Ref361408474"/>
      <w:r>
        <w:rPr>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1"/>
      <w:r>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pPr>
        <w:pStyle w:val="ListParagraph"/>
        <w:shd w:val="clear" w:color="auto" w:fill="FFFFFF"/>
        <w:tabs>
          <w:tab w:val="clear" w:pos="708"/>
          <w:tab w:val="left" w:pos="1418" w:leader="none"/>
        </w:tabs>
        <w:ind w:left="0" w:firstLine="709"/>
        <w:jc w:val="both"/>
        <w:rPr>
          <w:bCs/>
          <w:sz w:val="24"/>
          <w:szCs w:val="24"/>
        </w:rPr>
      </w:pPr>
      <w:r>
        <w:rPr>
          <w:bCs/>
          <w:sz w:val="24"/>
          <w:szCs w:val="24"/>
        </w:rPr>
        <w:t xml:space="preserve">Отдельные требования к упаковке и маркировке негабаритного Товара, </w:t>
        <w:br/>
        <w:t xml:space="preserve">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pPr>
        <w:pStyle w:val="ListParagraph"/>
        <w:shd w:val="clear" w:color="auto" w:fill="FFFFFF"/>
        <w:tabs>
          <w:tab w:val="clear" w:pos="708"/>
          <w:tab w:val="left" w:pos="1418" w:leader="none"/>
        </w:tabs>
        <w:ind w:left="0" w:firstLine="709"/>
        <w:jc w:val="both"/>
        <w:rPr>
          <w:bCs/>
          <w:sz w:val="24"/>
          <w:szCs w:val="24"/>
        </w:rPr>
      </w:pPr>
      <w:r>
        <w:rPr>
          <w:bCs/>
          <w:sz w:val="24"/>
          <w:szCs w:val="24"/>
        </w:rPr>
        <w:t xml:space="preserve">Стоимость тары и упаковки включена в стоимость Товара. Тара и упаковка возврату </w:t>
        <w:br/>
        <w:t xml:space="preserve">не подлежат. </w:t>
      </w:r>
    </w:p>
    <w:p>
      <w:pPr>
        <w:pStyle w:val="ListParagraph"/>
        <w:widowControl/>
        <w:numPr>
          <w:ilvl w:val="1"/>
          <w:numId w:val="2"/>
        </w:numPr>
        <w:shd w:val="clear" w:color="auto" w:fill="FFFFFF"/>
        <w:tabs>
          <w:tab w:val="clear" w:pos="708"/>
          <w:tab w:val="left" w:pos="1134" w:leader="none"/>
          <w:tab w:val="left" w:pos="1418" w:leader="none"/>
        </w:tabs>
        <w:ind w:left="0" w:firstLine="709"/>
        <w:jc w:val="both"/>
        <w:rPr>
          <w:sz w:val="24"/>
          <w:szCs w:val="24"/>
        </w:rPr>
      </w:pPr>
      <w:r>
        <w:rPr>
          <w:sz w:val="24"/>
          <w:szCs w:val="24"/>
        </w:rPr>
        <w:t xml:space="preserve">Погрузка, доставка, разгрузка </w:t>
      </w:r>
      <w:r>
        <w:rPr>
          <w:sz w:val="24"/>
          <w:szCs w:val="24"/>
          <w:highlight w:val="lightGray"/>
        </w:rPr>
        <w:t xml:space="preserve">и перемещение Товара (в том числе </w:t>
        <w:br/>
        <w:t>по территории Покупателя)</w:t>
      </w:r>
      <w:r>
        <w:rPr>
          <w:rStyle w:val="FootnoteReference"/>
          <w:sz w:val="24"/>
          <w:szCs w:val="24"/>
          <w:highlight w:val="lightGray"/>
        </w:rPr>
        <w:footnoteReference w:id="3"/>
      </w:r>
      <w:r>
        <w:rPr>
          <w:sz w:val="24"/>
          <w:szCs w:val="24"/>
        </w:rPr>
        <w:t xml:space="preserve"> </w:t>
      </w:r>
      <w:r>
        <w:rPr>
          <w:bCs/>
          <w:sz w:val="24"/>
          <w:szCs w:val="24"/>
        </w:rPr>
        <w:t>осуществляется</w:t>
      </w:r>
      <w:r>
        <w:rPr>
          <w:sz w:val="24"/>
          <w:szCs w:val="24"/>
        </w:rPr>
        <w:t xml:space="preserve"> Поставщиком. Стоимость погрузки, доставки, разгрузки </w:t>
      </w:r>
      <w:r>
        <w:rPr>
          <w:sz w:val="24"/>
          <w:szCs w:val="24"/>
          <w:highlight w:val="lightGray"/>
        </w:rPr>
        <w:t>и перемещения Товара</w:t>
      </w:r>
      <w:r>
        <w:rPr>
          <w:sz w:val="24"/>
          <w:szCs w:val="24"/>
        </w:rPr>
        <w:t xml:space="preserve"> включена в стоимость Товара.</w:t>
      </w:r>
    </w:p>
    <w:p>
      <w:pPr>
        <w:pStyle w:val="ListParagraph"/>
        <w:widowControl/>
        <w:numPr>
          <w:ilvl w:val="1"/>
          <w:numId w:val="2"/>
        </w:numPr>
        <w:shd w:val="clear" w:color="auto" w:fill="FFFFFF"/>
        <w:tabs>
          <w:tab w:val="clear" w:pos="708"/>
          <w:tab w:val="left" w:pos="1418" w:leader="none"/>
        </w:tabs>
        <w:ind w:left="0" w:firstLine="709"/>
        <w:jc w:val="both"/>
        <w:rPr>
          <w:sz w:val="24"/>
          <w:szCs w:val="24"/>
        </w:rPr>
      </w:pPr>
      <w:bookmarkStart w:id="2" w:name="_Ref361396594"/>
      <w:r>
        <w:rPr>
          <w:sz w:val="24"/>
          <w:szCs w:val="24"/>
        </w:rPr>
        <w:t>Датой поставки Товара является дата подписания Сторонами Накладной ТОРГ-12/УПД.</w:t>
      </w:r>
      <w:bookmarkEnd w:id="2"/>
      <w:r>
        <w:rPr>
          <w:sz w:val="24"/>
          <w:szCs w:val="24"/>
        </w:rPr>
        <w:t xml:space="preserve"> </w:t>
      </w:r>
    </w:p>
    <w:p>
      <w:pPr>
        <w:pStyle w:val="ListParagraph"/>
        <w:widowControl/>
        <w:numPr>
          <w:ilvl w:val="1"/>
          <w:numId w:val="2"/>
        </w:numPr>
        <w:shd w:val="clear" w:color="auto" w:fill="FFFFFF"/>
        <w:tabs>
          <w:tab w:val="clear" w:pos="708"/>
          <w:tab w:val="left" w:pos="1418" w:leader="none"/>
        </w:tabs>
        <w:ind w:left="0" w:firstLine="709"/>
        <w:jc w:val="both"/>
        <w:rPr>
          <w:sz w:val="24"/>
          <w:szCs w:val="24"/>
        </w:rPr>
      </w:pPr>
      <w:r>
        <w:rPr>
          <w:sz w:val="24"/>
          <w:szCs w:val="24"/>
        </w:rPr>
        <w:t xml:space="preserve">Приемка Товара по количеству тар и упаковок, в которых производилась отгрузка Товара, осуществляется Покупателем в день поставки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pPr>
        <w:pStyle w:val="ListParagraph"/>
        <w:widowControl/>
        <w:numPr>
          <w:ilvl w:val="1"/>
          <w:numId w:val="2"/>
        </w:numPr>
        <w:shd w:val="clear" w:color="auto" w:fill="FFFFFF"/>
        <w:tabs>
          <w:tab w:val="clear" w:pos="708"/>
          <w:tab w:val="left" w:pos="1418" w:leader="none"/>
        </w:tabs>
        <w:ind w:left="0" w:firstLine="709"/>
        <w:jc w:val="both"/>
        <w:rPr>
          <w:sz w:val="24"/>
          <w:szCs w:val="24"/>
        </w:rPr>
      </w:pPr>
      <w:r>
        <w:rPr>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w:t>
      </w:r>
      <w:r>
        <w:rPr>
          <w:sz w:val="24"/>
          <w:szCs w:val="24"/>
          <w:highlight w:val="lightGray"/>
        </w:rPr>
        <w:t>3 (трех)</w:t>
      </w:r>
      <w:r>
        <w:rPr>
          <w:sz w:val="24"/>
          <w:szCs w:val="24"/>
        </w:rPr>
        <w:t xml:space="preserve">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Товара в срок, письменно согласованный с Покупателем. </w:t>
      </w:r>
    </w:p>
    <w:p>
      <w:pPr>
        <w:pStyle w:val="ListParagraph"/>
        <w:shd w:val="clear" w:color="auto" w:fill="FFFFFF"/>
        <w:tabs>
          <w:tab w:val="clear" w:pos="708"/>
          <w:tab w:val="left" w:pos="1418" w:leader="none"/>
        </w:tabs>
        <w:ind w:left="0" w:firstLine="709"/>
        <w:jc w:val="both"/>
        <w:rPr>
          <w:sz w:val="24"/>
          <w:szCs w:val="24"/>
        </w:rPr>
      </w:pPr>
      <w:r>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0"/>
      <w:r>
        <w:rPr>
          <w:sz w:val="24"/>
          <w:szCs w:val="24"/>
        </w:rPr>
        <w:t xml:space="preserve"> </w:t>
      </w:r>
    </w:p>
    <w:p>
      <w:pPr>
        <w:pStyle w:val="ListParagraph"/>
        <w:widowControl/>
        <w:numPr>
          <w:ilvl w:val="1"/>
          <w:numId w:val="2"/>
        </w:numPr>
        <w:shd w:val="clear" w:color="auto" w:fill="FFFFFF"/>
        <w:tabs>
          <w:tab w:val="clear" w:pos="708"/>
          <w:tab w:val="left" w:pos="1418" w:leader="none"/>
        </w:tabs>
        <w:ind w:left="0" w:firstLine="709"/>
        <w:jc w:val="both"/>
        <w:rPr>
          <w:sz w:val="24"/>
          <w:szCs w:val="24"/>
        </w:rPr>
      </w:pPr>
      <w:r>
        <w:rPr>
          <w:sz w:val="24"/>
          <w:szCs w:val="24"/>
        </w:rPr>
        <w:t>Приемка Товара со вскрытием тары и упаковки производится Покупателем в течение 10</w:t>
      </w:r>
      <w:r>
        <w:rPr>
          <w:sz w:val="24"/>
          <w:szCs w:val="24"/>
          <w:highlight w:val="lightGray"/>
        </w:rPr>
        <w:t xml:space="preserve"> (десяти)</w:t>
      </w:r>
      <w:r>
        <w:rPr>
          <w:sz w:val="24"/>
          <w:szCs w:val="24"/>
        </w:rPr>
        <w:t xml:space="preserve"> рабочих дней с даты подписания Покупателем транспортных документов. В случае отсутствия замечаний Покупатель подписывает Накладную ТОРГ-12/УПД.</w:t>
      </w:r>
    </w:p>
    <w:p>
      <w:pPr>
        <w:pStyle w:val="Normal"/>
        <w:numPr>
          <w:ilvl w:val="1"/>
          <w:numId w:val="2"/>
        </w:numPr>
        <w:shd w:val="clear" w:color="auto" w:fill="FFFFFF"/>
        <w:tabs>
          <w:tab w:val="clear" w:pos="708"/>
          <w:tab w:val="left" w:pos="568" w:leader="none"/>
          <w:tab w:val="left" w:pos="1134" w:leader="none"/>
          <w:tab w:val="left" w:pos="1418" w:leader="none"/>
        </w:tabs>
        <w:ind w:left="0" w:firstLine="709"/>
        <w:jc w:val="both"/>
        <w:rPr>
          <w:sz w:val="24"/>
          <w:szCs w:val="24"/>
        </w:rPr>
      </w:pPr>
      <w:r>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pPr>
        <w:pStyle w:val="Normal"/>
        <w:shd w:val="clear" w:color="auto" w:fill="FFFFFF"/>
        <w:tabs>
          <w:tab w:val="clear" w:pos="708"/>
          <w:tab w:val="left" w:pos="1134" w:leader="none"/>
          <w:tab w:val="left" w:pos="1418" w:leader="none"/>
          <w:tab w:val="left" w:pos="1851" w:leader="none"/>
        </w:tabs>
        <w:ind w:firstLine="709"/>
        <w:jc w:val="both"/>
        <w:rPr>
          <w:sz w:val="24"/>
          <w:szCs w:val="24"/>
        </w:rPr>
      </w:pPr>
      <w:r>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pPr>
        <w:pStyle w:val="Normal"/>
        <w:shd w:val="clear" w:color="auto" w:fill="FFFFFF"/>
        <w:tabs>
          <w:tab w:val="clear" w:pos="708"/>
          <w:tab w:val="left" w:pos="1134" w:leader="none"/>
          <w:tab w:val="left" w:pos="1418" w:leader="none"/>
          <w:tab w:val="left" w:pos="1851" w:leader="none"/>
        </w:tabs>
        <w:ind w:firstLine="709"/>
        <w:jc w:val="both"/>
        <w:rPr>
          <w:sz w:val="24"/>
          <w:szCs w:val="24"/>
        </w:rPr>
      </w:pPr>
      <w:r>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w:t>
      </w:r>
    </w:p>
    <w:p>
      <w:pPr>
        <w:pStyle w:val="Normal"/>
        <w:numPr>
          <w:ilvl w:val="1"/>
          <w:numId w:val="2"/>
        </w:numPr>
        <w:shd w:val="clear" w:color="auto" w:fill="FFFFFF"/>
        <w:tabs>
          <w:tab w:val="clear" w:pos="708"/>
          <w:tab w:val="left" w:pos="1418" w:leader="none"/>
        </w:tabs>
        <w:ind w:left="0" w:firstLine="709"/>
        <w:jc w:val="both"/>
        <w:rPr>
          <w:sz w:val="24"/>
          <w:szCs w:val="24"/>
        </w:rPr>
      </w:pPr>
      <w:r>
        <w:rPr>
          <w:sz w:val="24"/>
          <w:szCs w:val="24"/>
        </w:rPr>
        <w:t>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пунктами 3.9, 3.11 Договора,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pPr>
        <w:pStyle w:val="Normal"/>
        <w:shd w:val="clear" w:color="auto" w:fill="FFFFFF"/>
        <w:tabs>
          <w:tab w:val="clear" w:pos="708"/>
          <w:tab w:val="left" w:pos="1283" w:leader="none"/>
          <w:tab w:val="left" w:pos="1851" w:leader="none"/>
        </w:tabs>
        <w:ind w:firstLine="709"/>
        <w:jc w:val="both"/>
        <w:rPr>
          <w:sz w:val="24"/>
          <w:szCs w:val="24"/>
        </w:rPr>
      </w:pPr>
      <w:r>
        <w:rPr>
          <w:sz w:val="24"/>
          <w:szCs w:val="24"/>
        </w:rPr>
        <w:t>Если Поставщик не вывезет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pPr>
        <w:pStyle w:val="ListParagraph"/>
        <w:widowControl/>
        <w:numPr>
          <w:ilvl w:val="1"/>
          <w:numId w:val="2"/>
        </w:numPr>
        <w:shd w:val="clear" w:color="auto" w:fill="FFFFFF"/>
        <w:tabs>
          <w:tab w:val="clear" w:pos="708"/>
          <w:tab w:val="left" w:pos="1134" w:leader="none"/>
          <w:tab w:val="left" w:pos="1418" w:leader="none"/>
        </w:tabs>
        <w:ind w:left="0" w:firstLine="709"/>
        <w:jc w:val="both"/>
        <w:rPr>
          <w:b/>
          <w:color w:val="000000"/>
          <w:sz w:val="24"/>
          <w:szCs w:val="24"/>
        </w:rPr>
      </w:pPr>
      <w:r>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абз.3 пункта 30, 35, 38-42).</w:t>
      </w:r>
      <w:r>
        <w:rPr>
          <w:b/>
          <w:bCs/>
          <w:color w:val="000000"/>
          <w:sz w:val="24"/>
          <w:szCs w:val="24"/>
        </w:rPr>
        <w:t xml:space="preserve"> </w:t>
      </w:r>
    </w:p>
    <w:p>
      <w:pPr>
        <w:pStyle w:val="ListParagraph"/>
        <w:widowControl/>
        <w:numPr>
          <w:ilvl w:val="1"/>
          <w:numId w:val="2"/>
        </w:numPr>
        <w:shd w:val="clear" w:color="auto" w:fill="FFFFFF"/>
        <w:tabs>
          <w:tab w:val="clear" w:pos="708"/>
          <w:tab w:val="left" w:pos="1134" w:leader="none"/>
          <w:tab w:val="left" w:pos="1418" w:leader="none"/>
        </w:tabs>
        <w:ind w:left="0" w:firstLine="709"/>
        <w:jc w:val="both"/>
        <w:rPr>
          <w:sz w:val="24"/>
          <w:szCs w:val="24"/>
        </w:rPr>
      </w:pPr>
      <w:r>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ТОРГ-12/УПД.</w:t>
      </w:r>
    </w:p>
    <w:p>
      <w:pPr>
        <w:pStyle w:val="Normal"/>
        <w:shd w:val="clear" w:color="auto" w:fill="FFFFFF"/>
        <w:jc w:val="both"/>
        <w:rPr>
          <w:sz w:val="24"/>
          <w:szCs w:val="24"/>
        </w:rPr>
      </w:pPr>
      <w:r>
        <w:rPr>
          <w:sz w:val="24"/>
          <w:szCs w:val="24"/>
        </w:rPr>
      </w:r>
    </w:p>
    <w:p>
      <w:pPr>
        <w:pStyle w:val="ListParagraph"/>
        <w:numPr>
          <w:ilvl w:val="0"/>
          <w:numId w:val="2"/>
        </w:numPr>
        <w:shd w:val="clear" w:color="auto" w:fill="FFFFFF"/>
        <w:tabs>
          <w:tab w:val="clear" w:pos="708"/>
          <w:tab w:val="left" w:pos="284" w:leader="none"/>
        </w:tabs>
        <w:ind w:left="0" w:hanging="0"/>
        <w:jc w:val="center"/>
        <w:rPr>
          <w:b/>
          <w:sz w:val="24"/>
          <w:szCs w:val="24"/>
        </w:rPr>
      </w:pPr>
      <w:r>
        <w:rPr>
          <w:b/>
          <w:sz w:val="24"/>
          <w:szCs w:val="24"/>
        </w:rPr>
        <w:t>Гарантийный срок</w:t>
      </w:r>
    </w:p>
    <w:p>
      <w:pPr>
        <w:pStyle w:val="ListParagraph"/>
        <w:numPr>
          <w:ilvl w:val="1"/>
          <w:numId w:val="2"/>
        </w:numPr>
        <w:tabs>
          <w:tab w:val="clear" w:pos="708"/>
          <w:tab w:val="left" w:pos="709" w:leader="none"/>
          <w:tab w:val="left" w:pos="1134" w:leader="none"/>
        </w:tabs>
        <w:ind w:left="0" w:firstLine="709"/>
        <w:jc w:val="both"/>
        <w:rPr>
          <w:sz w:val="24"/>
          <w:szCs w:val="24"/>
        </w:rPr>
      </w:pPr>
      <w:r>
        <w:rPr>
          <w:sz w:val="24"/>
          <w:szCs w:val="24"/>
        </w:rPr>
        <w:t>Гарантийный срок на Товар, поставленный по Договору, составляет не менее 12 (Двенадцати) месяцев и начинает течь с даты подписания Сторонами Накладной ТОРГ-12/УПД.</w:t>
      </w:r>
      <w:r>
        <w:rPr/>
        <w:t xml:space="preserve"> </w:t>
      </w:r>
      <w:r>
        <w:rPr>
          <w:sz w:val="24"/>
          <w:szCs w:val="24"/>
        </w:rPr>
        <w:t xml:space="preserve">Гарантийный срок может быть продлен в соответствии с условиями Договора. </w:t>
      </w:r>
    </w:p>
    <w:p>
      <w:pPr>
        <w:pStyle w:val="ListParagraph"/>
        <w:tabs>
          <w:tab w:val="clear" w:pos="708"/>
          <w:tab w:val="left" w:pos="1134" w:leader="none"/>
          <w:tab w:val="left" w:pos="1851" w:leader="none"/>
        </w:tabs>
        <w:ind w:left="0" w:firstLine="709"/>
        <w:jc w:val="both"/>
        <w:rPr>
          <w:sz w:val="24"/>
          <w:szCs w:val="24"/>
        </w:rPr>
      </w:pPr>
      <w:r>
        <w:rPr>
          <w:sz w:val="24"/>
          <w:szCs w:val="24"/>
        </w:rPr>
        <w:t>Установленный в отношении Товара гарантийный срок распространяется на все составные части и комплектующие Товара.</w:t>
      </w:r>
    </w:p>
    <w:p>
      <w:pPr>
        <w:pStyle w:val="Normal"/>
        <w:numPr>
          <w:ilvl w:val="1"/>
          <w:numId w:val="2"/>
        </w:numPr>
        <w:shd w:val="clear" w:color="auto" w:fill="FFFFFF"/>
        <w:tabs>
          <w:tab w:val="clear" w:pos="708"/>
          <w:tab w:val="left" w:pos="1134" w:leader="none"/>
        </w:tabs>
        <w:ind w:left="0" w:firstLine="709"/>
        <w:jc w:val="both"/>
        <w:rPr>
          <w:sz w:val="24"/>
          <w:szCs w:val="24"/>
        </w:rPr>
      </w:pPr>
      <w:r>
        <w:rPr>
          <w:sz w:val="24"/>
          <w:szCs w:val="24"/>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pPr>
        <w:pStyle w:val="Normal"/>
        <w:numPr>
          <w:ilvl w:val="1"/>
          <w:numId w:val="2"/>
        </w:numPr>
        <w:shd w:val="clear" w:color="auto" w:fill="FFFFFF"/>
        <w:tabs>
          <w:tab w:val="clear" w:pos="708"/>
          <w:tab w:val="left" w:pos="1134" w:leader="none"/>
        </w:tabs>
        <w:ind w:left="0" w:firstLine="709"/>
        <w:jc w:val="both"/>
        <w:rPr>
          <w:sz w:val="24"/>
          <w:szCs w:val="24"/>
        </w:rPr>
      </w:pPr>
      <w:r>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pPr>
        <w:pStyle w:val="Normal"/>
        <w:numPr>
          <w:ilvl w:val="1"/>
          <w:numId w:val="2"/>
        </w:numPr>
        <w:shd w:val="clear" w:color="auto" w:fill="FFFFFF"/>
        <w:tabs>
          <w:tab w:val="clear" w:pos="708"/>
          <w:tab w:val="left" w:pos="1134" w:leader="none"/>
        </w:tabs>
        <w:ind w:left="0" w:firstLine="709"/>
        <w:jc w:val="both"/>
        <w:rPr>
          <w:sz w:val="24"/>
          <w:szCs w:val="24"/>
        </w:rPr>
      </w:pPr>
      <w:r>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3" w:name="OLE_LINK6"/>
      <w:bookmarkStart w:id="4" w:name="OLE_LINK5"/>
      <w:r>
        <w:rPr>
          <w:sz w:val="24"/>
          <w:szCs w:val="24"/>
        </w:rPr>
        <w:t>Покупателем в соответствии с пунктом 4.3 Договора</w:t>
      </w:r>
      <w:bookmarkEnd w:id="3"/>
      <w:bookmarkEnd w:id="4"/>
      <w:r>
        <w:rPr>
          <w:sz w:val="24"/>
          <w:szCs w:val="24"/>
        </w:rPr>
        <w:t xml:space="preserve">, путем замены или ремонта Товара. </w:t>
      </w:r>
    </w:p>
    <w:p>
      <w:pPr>
        <w:pStyle w:val="Normal"/>
        <w:shd w:val="clear" w:color="auto" w:fill="FFFFFF"/>
        <w:ind w:firstLine="709"/>
        <w:jc w:val="both"/>
        <w:rPr>
          <w:sz w:val="24"/>
          <w:szCs w:val="24"/>
        </w:rPr>
      </w:pPr>
      <w:r>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pPr>
        <w:pStyle w:val="Normal"/>
        <w:numPr>
          <w:ilvl w:val="1"/>
          <w:numId w:val="2"/>
        </w:numPr>
        <w:shd w:val="clear" w:color="auto" w:fill="FFFFFF"/>
        <w:tabs>
          <w:tab w:val="clear" w:pos="708"/>
          <w:tab w:val="left" w:pos="1134" w:leader="none"/>
        </w:tabs>
        <w:ind w:left="0" w:firstLine="709"/>
        <w:jc w:val="both"/>
        <w:rPr>
          <w:sz w:val="24"/>
          <w:szCs w:val="24"/>
        </w:rPr>
      </w:pPr>
      <w:r>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pPr>
        <w:pStyle w:val="Normal"/>
        <w:numPr>
          <w:ilvl w:val="1"/>
          <w:numId w:val="2"/>
        </w:numPr>
        <w:shd w:val="clear" w:color="auto" w:fill="FFFFFF"/>
        <w:tabs>
          <w:tab w:val="clear" w:pos="708"/>
          <w:tab w:val="left" w:pos="1134" w:leader="none"/>
        </w:tabs>
        <w:ind w:left="0" w:firstLine="709"/>
        <w:jc w:val="both"/>
        <w:rPr>
          <w:sz w:val="24"/>
          <w:szCs w:val="24"/>
        </w:rPr>
      </w:pPr>
      <w:r>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pPr>
        <w:pStyle w:val="ListParagraph"/>
        <w:numPr>
          <w:ilvl w:val="1"/>
          <w:numId w:val="8"/>
        </w:numPr>
        <w:shd w:val="clear" w:color="auto" w:fill="FFFFFF"/>
        <w:tabs>
          <w:tab w:val="clear" w:pos="708"/>
          <w:tab w:val="left" w:pos="1134" w:leader="none"/>
        </w:tabs>
        <w:suppressAutoHyphens w:val="false"/>
        <w:ind w:left="0" w:firstLine="709"/>
        <w:jc w:val="both"/>
        <w:rPr>
          <w:sz w:val="24"/>
          <w:szCs w:val="24"/>
        </w:rPr>
      </w:pPr>
      <w:r>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pPr>
        <w:pStyle w:val="Normal"/>
        <w:shd w:val="clear" w:color="auto" w:fill="FFFFFF"/>
        <w:tabs>
          <w:tab w:val="clear" w:pos="708"/>
          <w:tab w:val="left" w:pos="1134" w:leader="none"/>
        </w:tabs>
        <w:ind w:firstLine="709"/>
        <w:jc w:val="both"/>
        <w:rPr>
          <w:sz w:val="24"/>
          <w:szCs w:val="24"/>
        </w:rPr>
      </w:pPr>
      <w:r>
        <w:rPr>
          <w:sz w:val="24"/>
          <w:szCs w:val="24"/>
        </w:rPr>
        <w:t xml:space="preserve"> </w:t>
      </w:r>
    </w:p>
    <w:p>
      <w:pPr>
        <w:pStyle w:val="Normal"/>
        <w:numPr>
          <w:ilvl w:val="0"/>
          <w:numId w:val="2"/>
        </w:numPr>
        <w:shd w:val="clear" w:color="auto" w:fill="FFFFFF"/>
        <w:tabs>
          <w:tab w:val="clear" w:pos="708"/>
          <w:tab w:val="left" w:pos="284" w:leader="none"/>
        </w:tabs>
        <w:ind w:left="0" w:hanging="0"/>
        <w:jc w:val="center"/>
        <w:rPr>
          <w:b/>
          <w:bCs/>
          <w:sz w:val="24"/>
          <w:szCs w:val="24"/>
        </w:rPr>
      </w:pPr>
      <w:r>
        <w:rPr/>
        <w:t xml:space="preserve"> </w:t>
      </w:r>
      <w:r>
        <w:rPr>
          <w:b/>
          <w:bCs/>
          <w:sz w:val="24"/>
          <w:szCs w:val="24"/>
        </w:rPr>
        <w:t>Ответственность Сторон</w:t>
      </w:r>
    </w:p>
    <w:p>
      <w:pPr>
        <w:pStyle w:val="ListParagraph"/>
        <w:numPr>
          <w:ilvl w:val="1"/>
          <w:numId w:val="2"/>
        </w:numPr>
        <w:tabs>
          <w:tab w:val="clear" w:pos="708"/>
          <w:tab w:val="left" w:pos="1276" w:leader="none"/>
        </w:tabs>
        <w:ind w:left="0" w:firstLine="709"/>
        <w:jc w:val="both"/>
        <w:rPr>
          <w:sz w:val="24"/>
          <w:szCs w:val="24"/>
        </w:rPr>
      </w:pPr>
      <w:r>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Normal"/>
        <w:widowControl/>
        <w:numPr>
          <w:ilvl w:val="1"/>
          <w:numId w:val="2"/>
        </w:numPr>
        <w:shd w:val="clear" w:color="auto" w:fill="FFFFFF"/>
        <w:tabs>
          <w:tab w:val="clear" w:pos="708"/>
          <w:tab w:val="left" w:pos="1276" w:leader="none"/>
        </w:tabs>
        <w:ind w:left="0" w:firstLine="709"/>
        <w:jc w:val="both"/>
        <w:rPr>
          <w:bCs/>
          <w:sz w:val="24"/>
          <w:szCs w:val="24"/>
        </w:rPr>
      </w:pPr>
      <w:r>
        <w:rPr>
          <w:bCs/>
          <w:sz w:val="24"/>
          <w:szCs w:val="24"/>
        </w:rPr>
        <w:t>Покупатель не несет ответственности за ненадлежащее исполнение обязательств 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pPr>
        <w:pStyle w:val="Normal"/>
        <w:widowControl/>
        <w:numPr>
          <w:ilvl w:val="1"/>
          <w:numId w:val="2"/>
        </w:numPr>
        <w:tabs>
          <w:tab w:val="clear" w:pos="708"/>
          <w:tab w:val="left" w:pos="1276" w:leader="none"/>
        </w:tabs>
        <w:ind w:left="0" w:firstLine="709"/>
        <w:jc w:val="both"/>
        <w:rPr>
          <w:bCs/>
          <w:sz w:val="24"/>
          <w:szCs w:val="24"/>
        </w:rPr>
      </w:pPr>
      <w:r>
        <w:rPr>
          <w:bCs/>
          <w:sz w:val="24"/>
          <w:szCs w:val="24"/>
        </w:rPr>
        <w:t xml:space="preserve">В случае нарушения Покупателем сроков оплаты, установленных разделом 2 Договора (за исключением срока оплаты авансовых платежей), Поставщик вправе требовать уплаты Покупателем исключительной неустойки в размере 0,1 (ноль целых одна десятая) процента от несвоевременно оплаченной суммы за каждый день просрочки. </w:t>
      </w:r>
    </w:p>
    <w:p>
      <w:pPr>
        <w:pStyle w:val="Normal"/>
        <w:widowControl/>
        <w:numPr>
          <w:ilvl w:val="1"/>
          <w:numId w:val="2"/>
        </w:numPr>
        <w:tabs>
          <w:tab w:val="clear" w:pos="708"/>
          <w:tab w:val="left" w:pos="1276" w:leader="none"/>
        </w:tabs>
        <w:ind w:left="0" w:firstLine="709"/>
        <w:jc w:val="both"/>
        <w:rPr>
          <w:bCs/>
          <w:sz w:val="24"/>
          <w:szCs w:val="24"/>
        </w:rPr>
      </w:pPr>
      <w:r>
        <w:rPr>
          <w:bCs/>
          <w:sz w:val="24"/>
          <w:szCs w:val="24"/>
        </w:rPr>
        <w:t>В случае нарушения Поставщиком обязательств по поставке товара (нарушение срока поставки, недопоставка), а также в случае несвоевременного устранения выявленных недостатков Товара, Покупатель вправе потребовать уплаты Поставщиком:</w:t>
      </w:r>
    </w:p>
    <w:p>
      <w:pPr>
        <w:pStyle w:val="Normal"/>
        <w:widowControl/>
        <w:tabs>
          <w:tab w:val="clear" w:pos="708"/>
          <w:tab w:val="left" w:pos="1276" w:leader="none"/>
        </w:tabs>
        <w:ind w:firstLine="709"/>
        <w:jc w:val="both"/>
        <w:rPr>
          <w:bCs/>
          <w:sz w:val="24"/>
          <w:szCs w:val="24"/>
        </w:rPr>
      </w:pPr>
      <w:r>
        <w:rPr>
          <w:bCs/>
          <w:sz w:val="24"/>
          <w:szCs w:val="24"/>
        </w:rPr>
        <w:t>5.4.1. Неустойки в размере 0,1 (ноль целых и одна десятая) процента от Цены Договора за каждый день просрочки;</w:t>
      </w:r>
    </w:p>
    <w:p>
      <w:pPr>
        <w:pStyle w:val="Normal"/>
        <w:widowControl/>
        <w:tabs>
          <w:tab w:val="clear" w:pos="708"/>
          <w:tab w:val="left" w:pos="1276" w:leader="none"/>
        </w:tabs>
        <w:ind w:firstLine="709"/>
        <w:jc w:val="both"/>
        <w:rPr>
          <w:bCs/>
          <w:sz w:val="24"/>
          <w:szCs w:val="24"/>
        </w:rPr>
      </w:pPr>
      <w:r>
        <w:rPr>
          <w:bCs/>
          <w:sz w:val="24"/>
          <w:szCs w:val="24"/>
        </w:rPr>
        <w:t>5.4.2. Неустойки в размере 0,1 (ноль целых и одна десятая) процента от Цены Договора за каждый день просрочки – в случае несвоевременного устранения недостатков товара, влияющих на возможность эксплуатации (использования) Товара в целом;</w:t>
      </w:r>
    </w:p>
    <w:p>
      <w:pPr>
        <w:pStyle w:val="Normal"/>
        <w:widowControl/>
        <w:tabs>
          <w:tab w:val="clear" w:pos="708"/>
          <w:tab w:val="left" w:pos="1276" w:leader="none"/>
        </w:tabs>
        <w:ind w:firstLine="709"/>
        <w:jc w:val="both"/>
        <w:rPr>
          <w:bCs/>
          <w:sz w:val="24"/>
          <w:szCs w:val="24"/>
        </w:rPr>
      </w:pPr>
      <w:r>
        <w:rPr>
          <w:bCs/>
          <w:sz w:val="24"/>
          <w:szCs w:val="24"/>
        </w:rPr>
        <w:t>5.4.3. Неустойки в размере 0,1 (ноль целых и одна десятая) процента от стоимости Товара за каждый день просрочки – в случае несвоевременного устранения недостатков, не влияющих на возможность эксплуатации (использования) Товара в целом.</w:t>
      </w:r>
    </w:p>
    <w:p>
      <w:pPr>
        <w:pStyle w:val="ListParagraph"/>
        <w:widowControl/>
        <w:numPr>
          <w:ilvl w:val="1"/>
          <w:numId w:val="2"/>
        </w:numPr>
        <w:tabs>
          <w:tab w:val="clear" w:pos="708"/>
          <w:tab w:val="left" w:pos="1276" w:leader="none"/>
          <w:tab w:val="left" w:pos="1701" w:leader="none"/>
        </w:tabs>
        <w:ind w:left="0" w:firstLine="709"/>
        <w:jc w:val="both"/>
        <w:rPr>
          <w:sz w:val="24"/>
          <w:szCs w:val="24"/>
        </w:rPr>
      </w:pPr>
      <w:r>
        <w:rPr>
          <w:rFonts w:eastAsia="Calibri"/>
          <w:bCs/>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Pr>
          <w:sz w:val="24"/>
          <w:szCs w:val="24"/>
        </w:rPr>
        <w:t>.</w:t>
      </w:r>
    </w:p>
    <w:p>
      <w:pPr>
        <w:pStyle w:val="ListParagraph"/>
        <w:widowControl/>
        <w:numPr>
          <w:ilvl w:val="1"/>
          <w:numId w:val="2"/>
        </w:numPr>
        <w:tabs>
          <w:tab w:val="clear" w:pos="708"/>
          <w:tab w:val="left" w:pos="1276" w:leader="none"/>
          <w:tab w:val="left" w:pos="1701" w:leader="none"/>
        </w:tabs>
        <w:ind w:left="0" w:firstLine="709"/>
        <w:jc w:val="both"/>
        <w:rPr>
          <w:rFonts w:eastAsia="Calibri"/>
          <w:bCs/>
          <w:sz w:val="24"/>
          <w:szCs w:val="24"/>
        </w:rPr>
      </w:pPr>
      <w:r>
        <w:rPr>
          <w:rFonts w:eastAsia="Calibri"/>
          <w:bCs/>
          <w:sz w:val="24"/>
          <w:szCs w:val="24"/>
        </w:rPr>
        <w:t>В случае нарушения Поставщиком обязательств по поставке Товара, на срок свыше 60 (шестидесяти)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Поставщику имущество (имущественные права), ранее принятые по Договору, и потребовать возврата уплаченных денежных средств.</w:t>
      </w:r>
    </w:p>
    <w:p>
      <w:pPr>
        <w:pStyle w:val="ListParagraph"/>
        <w:widowControl/>
        <w:numPr>
          <w:ilvl w:val="1"/>
          <w:numId w:val="2"/>
        </w:numPr>
        <w:shd w:val="clear" w:color="auto" w:fill="FFFFFF"/>
        <w:tabs>
          <w:tab w:val="clear" w:pos="708"/>
          <w:tab w:val="left" w:pos="1276" w:leader="none"/>
        </w:tabs>
        <w:ind w:left="0" w:firstLine="709"/>
        <w:jc w:val="both"/>
        <w:rPr>
          <w:bCs/>
          <w:sz w:val="24"/>
          <w:szCs w:val="24"/>
        </w:rPr>
      </w:pPr>
      <w:r>
        <w:rPr/>
        <w:t xml:space="preserve"> </w:t>
      </w:r>
      <w:r>
        <w:rPr>
          <w:bCs/>
          <w:sz w:val="24"/>
          <w:szCs w:val="24"/>
        </w:rPr>
        <w:t xml:space="preserve">Если в результате составления и выставления Поставщиком счетов-фактур/УПД </w:t>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br/>
        <w:t xml:space="preserve">по такому основанию сумм НДС, пеней и налоговых санкций, Поставщик обязан компенсировать Покупателю сумму таких расходов. </w:t>
      </w:r>
    </w:p>
    <w:p>
      <w:pPr>
        <w:pStyle w:val="ListParagraph"/>
        <w:widowControl/>
        <w:shd w:val="clear" w:color="auto" w:fill="FFFFFF"/>
        <w:tabs>
          <w:tab w:val="clear" w:pos="708"/>
          <w:tab w:val="left" w:pos="1276" w:leader="none"/>
        </w:tabs>
        <w:ind w:left="0" w:firstLine="709"/>
        <w:jc w:val="both"/>
        <w:rPr>
          <w:bCs/>
          <w:sz w:val="24"/>
          <w:szCs w:val="24"/>
        </w:rPr>
      </w:pPr>
      <w:r>
        <w:rPr>
          <w:bCs/>
          <w:sz w:val="24"/>
          <w:szCs w:val="24"/>
        </w:rPr>
        <w:t xml:space="preserve">Основанием для компенсации являются решения налоговых органов, вынесенные по итогам проведения мероприятий налогового контроля. </w:t>
      </w:r>
    </w:p>
    <w:p>
      <w:pPr>
        <w:pStyle w:val="ListParagraph"/>
        <w:widowControl/>
        <w:shd w:val="clear" w:color="auto" w:fill="FFFFFF"/>
        <w:tabs>
          <w:tab w:val="clear" w:pos="708"/>
          <w:tab w:val="left" w:pos="1276" w:leader="none"/>
        </w:tabs>
        <w:ind w:left="0" w:firstLine="709"/>
        <w:jc w:val="both"/>
        <w:rPr>
          <w:bCs/>
          <w:sz w:val="24"/>
          <w:szCs w:val="24"/>
        </w:rPr>
      </w:pPr>
      <w:r>
        <w:rPr>
          <w:bCs/>
          <w:sz w:val="24"/>
          <w:szCs w:val="24"/>
        </w:rPr>
        <w:t>Сумма расходов компенсируется Поставщиком в течение 10 (десяти) рабочих дней с даты получения соответствующего письменного требования Покупателя.</w:t>
      </w:r>
    </w:p>
    <w:p>
      <w:pPr>
        <w:pStyle w:val="ListParagraph"/>
        <w:widowControl/>
        <w:shd w:val="clear" w:color="auto" w:fill="FFFFFF"/>
        <w:tabs>
          <w:tab w:val="clear" w:pos="708"/>
          <w:tab w:val="left" w:pos="1276" w:leader="none"/>
        </w:tabs>
        <w:ind w:left="0" w:firstLine="709"/>
        <w:jc w:val="both"/>
        <w:rPr>
          <w:bCs/>
          <w:sz w:val="24"/>
          <w:szCs w:val="24"/>
        </w:rPr>
      </w:pPr>
      <w:r>
        <w:rPr>
          <w:bCs/>
          <w:sz w:val="24"/>
          <w:szCs w:val="24"/>
        </w:rPr>
        <w:t>В случае нарушения Поставщиком сроков предоставления счетов-фактур/УПД, установленных пунктом 2.7 Договора, Покупатель вправе требовать уплаты Поставщиком штрафа в размере 50 000 (Пятидесяти тысяч) рублей за каждый случай нарушения.</w:t>
      </w:r>
    </w:p>
    <w:p>
      <w:pPr>
        <w:pStyle w:val="ListParagraph"/>
        <w:widowControl/>
        <w:numPr>
          <w:ilvl w:val="1"/>
          <w:numId w:val="2"/>
        </w:numPr>
        <w:shd w:val="clear" w:color="auto" w:fill="FFFFFF"/>
        <w:tabs>
          <w:tab w:val="clear" w:pos="708"/>
          <w:tab w:val="left" w:pos="1276" w:leader="none"/>
        </w:tabs>
        <w:ind w:left="0" w:firstLine="709"/>
        <w:jc w:val="both"/>
        <w:rPr>
          <w:bCs/>
          <w:sz w:val="24"/>
          <w:szCs w:val="24"/>
          <w:highlight w:val="lightGray"/>
        </w:rPr>
      </w:pPr>
      <w:r>
        <w:rPr>
          <w:bCs/>
          <w:sz w:val="24"/>
          <w:szCs w:val="24"/>
          <w:highlight w:val="lightGray"/>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Покупателем согласно Правилам оптового рынка электрической энергии и мощности, утвержденным постановлением Правительства Российской Федерации от 27.12.2010 № 1172 (далее – Правила ОРЭМ), а также иных расходов (штрафов, пени), связанных с нарушением обязательств по поставке электрической энергии, возникших в связи с неисполнением / ненадлежащим исполнением Поставщиком своих обязательств.</w:t>
      </w:r>
    </w:p>
    <w:p>
      <w:pPr>
        <w:pStyle w:val="ListParagraph"/>
        <w:widowControl/>
        <w:shd w:val="clear" w:color="auto" w:fill="FFFFFF"/>
        <w:tabs>
          <w:tab w:val="clear" w:pos="708"/>
          <w:tab w:val="left" w:pos="1276" w:leader="none"/>
        </w:tabs>
        <w:ind w:left="0" w:firstLine="709"/>
        <w:jc w:val="both"/>
        <w:rPr>
          <w:bCs/>
          <w:sz w:val="24"/>
          <w:szCs w:val="24"/>
          <w:highlight w:val="lightGray"/>
        </w:rPr>
      </w:pPr>
      <w:r>
        <w:rPr>
          <w:bCs/>
          <w:sz w:val="24"/>
          <w:szCs w:val="24"/>
          <w:highlight w:val="lightGray"/>
        </w:rPr>
        <w:t>Кроме суммы реального ущерба, Поставщик компенсирует Покупателю упущенную выгоду (выручку) и дополнительные обязательства участника ОРЭМ от недопоставки электрической энергии и мощности на ОРЭМ по вине сторонних организаций.</w:t>
      </w:r>
    </w:p>
    <w:p>
      <w:pPr>
        <w:pStyle w:val="ListParagraph"/>
        <w:widowControl/>
        <w:shd w:val="clear" w:color="auto" w:fill="FFFFFF"/>
        <w:tabs>
          <w:tab w:val="clear" w:pos="708"/>
          <w:tab w:val="left" w:pos="1276" w:leader="none"/>
        </w:tabs>
        <w:ind w:left="0" w:firstLine="709"/>
        <w:jc w:val="both"/>
        <w:rPr>
          <w:bCs/>
          <w:sz w:val="24"/>
          <w:szCs w:val="24"/>
          <w:highlight w:val="lightGray"/>
        </w:rPr>
      </w:pPr>
      <w:r>
        <w:rPr>
          <w:bCs/>
          <w:sz w:val="24"/>
          <w:szCs w:val="24"/>
          <w:highlight w:val="lightGray"/>
        </w:rPr>
        <w:t>Размер упущенной выгоды (выручки) подтверждается (по выбору Покупателя):</w:t>
      </w:r>
    </w:p>
    <w:p>
      <w:pPr>
        <w:pStyle w:val="ListParagraph"/>
        <w:widowControl/>
        <w:shd w:val="clear" w:color="auto" w:fill="FFFFFF"/>
        <w:tabs>
          <w:tab w:val="clear" w:pos="708"/>
          <w:tab w:val="left" w:pos="1276" w:leader="none"/>
        </w:tabs>
        <w:ind w:left="0" w:firstLine="709"/>
        <w:jc w:val="both"/>
        <w:rPr>
          <w:bCs/>
          <w:sz w:val="24"/>
          <w:szCs w:val="24"/>
          <w:highlight w:val="lightGray"/>
        </w:rPr>
      </w:pPr>
      <w:r>
        <w:rPr>
          <w:bCs/>
          <w:sz w:val="24"/>
          <w:szCs w:val="24"/>
          <w:highlight w:val="lightGray"/>
        </w:rPr>
        <w:t>- в ценовой зоне оптового рынка:</w:t>
      </w:r>
    </w:p>
    <w:p>
      <w:pPr>
        <w:pStyle w:val="ListParagraph"/>
        <w:widowControl/>
        <w:shd w:val="clear" w:color="auto" w:fill="FFFFFF"/>
        <w:tabs>
          <w:tab w:val="clear" w:pos="708"/>
          <w:tab w:val="left" w:pos="1276" w:leader="none"/>
        </w:tabs>
        <w:ind w:left="0" w:firstLine="709"/>
        <w:jc w:val="both"/>
        <w:rPr>
          <w:bCs/>
          <w:sz w:val="24"/>
          <w:szCs w:val="24"/>
          <w:highlight w:val="lightGray"/>
        </w:rPr>
      </w:pPr>
      <w:r>
        <w:rPr>
          <w:bCs/>
          <w:sz w:val="24"/>
          <w:szCs w:val="24"/>
          <w:highlight w:val="lightGray"/>
        </w:rPr>
        <w:t xml:space="preserve">- расчетом, подготовленным Коммерческим оператором оптового рынка; </w:t>
      </w:r>
    </w:p>
    <w:p>
      <w:pPr>
        <w:pStyle w:val="ListParagraph"/>
        <w:widowControl/>
        <w:shd w:val="clear" w:color="auto" w:fill="FFFFFF"/>
        <w:tabs>
          <w:tab w:val="clear" w:pos="708"/>
          <w:tab w:val="left" w:pos="1276" w:leader="none"/>
        </w:tabs>
        <w:ind w:left="0" w:firstLine="709"/>
        <w:jc w:val="both"/>
        <w:rPr>
          <w:bCs/>
          <w:sz w:val="24"/>
          <w:szCs w:val="24"/>
          <w:highlight w:val="lightGray"/>
        </w:rPr>
      </w:pPr>
      <w:r>
        <w:rPr>
          <w:bCs/>
          <w:sz w:val="24"/>
          <w:szCs w:val="24"/>
          <w:highlight w:val="lightGray"/>
        </w:rPr>
        <w:t>и / или</w:t>
      </w:r>
    </w:p>
    <w:p>
      <w:pPr>
        <w:pStyle w:val="ListParagraph"/>
        <w:widowControl/>
        <w:shd w:val="clear" w:color="auto" w:fill="FFFFFF"/>
        <w:tabs>
          <w:tab w:val="clear" w:pos="708"/>
          <w:tab w:val="left" w:pos="1276" w:leader="none"/>
        </w:tabs>
        <w:ind w:left="0" w:firstLine="709"/>
        <w:jc w:val="both"/>
        <w:rPr>
          <w:bCs/>
          <w:sz w:val="24"/>
          <w:szCs w:val="24"/>
          <w:highlight w:val="lightGray"/>
        </w:rPr>
      </w:pPr>
      <w:r>
        <w:rPr>
          <w:bCs/>
          <w:sz w:val="24"/>
          <w:szCs w:val="24"/>
          <w:highlight w:val="lightGray"/>
        </w:rPr>
        <w:t>- расчетом, подготовленным Покупателем на основании методики, утвержденной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(далее – Ассоциация «НП Совета рынка»).</w:t>
      </w:r>
    </w:p>
    <w:p>
      <w:pPr>
        <w:pStyle w:val="ListParagraph"/>
        <w:widowControl/>
        <w:shd w:val="clear" w:color="auto" w:fill="FFFFFF"/>
        <w:tabs>
          <w:tab w:val="clear" w:pos="708"/>
          <w:tab w:val="left" w:pos="1276" w:leader="none"/>
        </w:tabs>
        <w:ind w:left="0" w:firstLine="709"/>
        <w:jc w:val="both"/>
        <w:rPr>
          <w:bCs/>
          <w:sz w:val="24"/>
          <w:szCs w:val="24"/>
          <w:highlight w:val="lightGray"/>
        </w:rPr>
      </w:pPr>
      <w:r>
        <w:rPr>
          <w:bCs/>
          <w:sz w:val="24"/>
          <w:szCs w:val="24"/>
          <w:highlight w:val="lightGray"/>
        </w:rPr>
        <w:t xml:space="preserve">- в отдельной территории ценовой зоны оптового рынка, ранее относившейся к неценовой зоне оптового рынка Дальнего Востока: </w:t>
      </w:r>
    </w:p>
    <w:p>
      <w:pPr>
        <w:pStyle w:val="ListParagraph"/>
        <w:widowControl/>
        <w:shd w:val="clear" w:color="auto" w:fill="FFFFFF"/>
        <w:tabs>
          <w:tab w:val="clear" w:pos="708"/>
          <w:tab w:val="left" w:pos="1276" w:leader="none"/>
        </w:tabs>
        <w:ind w:left="0" w:firstLine="709"/>
        <w:jc w:val="both"/>
        <w:rPr>
          <w:bCs/>
          <w:sz w:val="24"/>
          <w:szCs w:val="24"/>
          <w:highlight w:val="lightGray"/>
        </w:rPr>
      </w:pPr>
      <w:r>
        <w:rPr>
          <w:bCs/>
          <w:sz w:val="24"/>
          <w:szCs w:val="24"/>
          <w:highlight w:val="lightGray"/>
        </w:rPr>
        <w:t>до даты утверждения Наблюдательным советом Ассоциации «НП Совет рынка» методики определения в ценовых зонах ОРЭМ упущенной выручки от недопоставки электрической энергии и мощности на ОРЭМ – расчетом, подготовленным Покупателем на основании Методики (Приложение № 3 к Договору);</w:t>
      </w:r>
    </w:p>
    <w:p>
      <w:pPr>
        <w:pStyle w:val="ListParagraph"/>
        <w:widowControl/>
        <w:shd w:val="clear" w:color="auto" w:fill="FFFFFF"/>
        <w:tabs>
          <w:tab w:val="clear" w:pos="708"/>
          <w:tab w:val="left" w:pos="1276" w:leader="none"/>
        </w:tabs>
        <w:ind w:left="0" w:firstLine="709"/>
        <w:jc w:val="both"/>
        <w:rPr>
          <w:bCs/>
          <w:sz w:val="24"/>
          <w:szCs w:val="24"/>
          <w:highlight w:val="lightGray"/>
        </w:rPr>
      </w:pPr>
      <w:r>
        <w:rPr>
          <w:bCs/>
          <w:sz w:val="24"/>
          <w:szCs w:val="24"/>
          <w:highlight w:val="lightGray"/>
        </w:rPr>
        <w:t>после утверждения Наблюдательным советом Ассоциации «НП Совет рынка» методики определения в ценовых зонах ОРЭМ упущенной выручки от недопоставки электрической энергии и мощности на ОРЭМ:</w:t>
      </w:r>
    </w:p>
    <w:p>
      <w:pPr>
        <w:pStyle w:val="ListParagraph"/>
        <w:widowControl/>
        <w:shd w:val="clear" w:color="auto" w:fill="FFFFFF"/>
        <w:tabs>
          <w:tab w:val="clear" w:pos="708"/>
          <w:tab w:val="left" w:pos="1276" w:leader="none"/>
        </w:tabs>
        <w:ind w:left="0" w:firstLine="709"/>
        <w:jc w:val="both"/>
        <w:rPr>
          <w:bCs/>
          <w:sz w:val="24"/>
          <w:szCs w:val="24"/>
          <w:highlight w:val="lightGray"/>
        </w:rPr>
      </w:pPr>
      <w:r>
        <w:rPr>
          <w:bCs/>
          <w:sz w:val="24"/>
          <w:szCs w:val="24"/>
          <w:highlight w:val="lightGray"/>
        </w:rPr>
        <w:t xml:space="preserve">расчетом, подготовленным Коммерческим оператором оптового рынка; </w:t>
      </w:r>
    </w:p>
    <w:p>
      <w:pPr>
        <w:pStyle w:val="ListParagraph"/>
        <w:widowControl/>
        <w:shd w:val="clear" w:color="auto" w:fill="FFFFFF"/>
        <w:tabs>
          <w:tab w:val="clear" w:pos="708"/>
          <w:tab w:val="left" w:pos="1276" w:leader="none"/>
        </w:tabs>
        <w:ind w:left="0" w:firstLine="709"/>
        <w:jc w:val="both"/>
        <w:rPr>
          <w:bCs/>
          <w:sz w:val="24"/>
          <w:szCs w:val="24"/>
          <w:highlight w:val="lightGray"/>
        </w:rPr>
      </w:pPr>
      <w:r>
        <w:rPr>
          <w:bCs/>
          <w:sz w:val="24"/>
          <w:szCs w:val="24"/>
          <w:highlight w:val="lightGray"/>
        </w:rPr>
        <w:t>и / или</w:t>
      </w:r>
    </w:p>
    <w:p>
      <w:pPr>
        <w:pStyle w:val="ListParagraph"/>
        <w:widowControl/>
        <w:shd w:val="clear" w:color="auto" w:fill="FFFFFF"/>
        <w:tabs>
          <w:tab w:val="clear" w:pos="708"/>
          <w:tab w:val="left" w:pos="1276" w:leader="none"/>
        </w:tabs>
        <w:ind w:left="0" w:firstLine="709"/>
        <w:jc w:val="both"/>
        <w:rPr>
          <w:bCs/>
          <w:sz w:val="24"/>
          <w:szCs w:val="24"/>
          <w:highlight w:val="lightGray"/>
        </w:rPr>
      </w:pPr>
      <w:r>
        <w:rPr>
          <w:bCs/>
          <w:sz w:val="24"/>
          <w:szCs w:val="24"/>
          <w:highlight w:val="lightGray"/>
        </w:rPr>
        <w:t>расчетом, подготовленным Покупателем на основании методики, утвержденной Наблюдательным советом Ассоциации «НП Совет рынка».</w:t>
      </w:r>
    </w:p>
    <w:p>
      <w:pPr>
        <w:pStyle w:val="ListParagraph"/>
        <w:widowControl/>
        <w:shd w:val="clear" w:color="auto" w:fill="FFFFFF"/>
        <w:tabs>
          <w:tab w:val="clear" w:pos="708"/>
          <w:tab w:val="left" w:pos="1276" w:leader="none"/>
        </w:tabs>
        <w:ind w:left="0" w:firstLine="709"/>
        <w:jc w:val="both"/>
        <w:rPr>
          <w:bCs/>
          <w:sz w:val="24"/>
          <w:szCs w:val="24"/>
          <w:highlight w:val="lightGray"/>
        </w:rPr>
      </w:pPr>
      <w:r>
        <w:rPr>
          <w:bCs/>
          <w:sz w:val="24"/>
          <w:szCs w:val="24"/>
          <w:highlight w:val="lightGray"/>
        </w:rPr>
        <w:t>В отношении вновь вводимого оборудования ГЭС / ГАЭС – объектов ДПМ, ДПМ ВИЭ в ценовых зонах ОРЭМ Поставщик дополнительно компенсирует Покупателю упущенную выгоду (выручку) в связи с неоплатой мощности из-за просрочки исполнения обязательства по поставке мощности выводимого на ОРЭМ объекта. Размер упущенной выгоды для каждого месяца просрочки определяется как произведение договорного объема мощности новой ГЭС / ГАЭС на тариф по мощности, определенный Коммерческим оператором оптового рынка в соответствии с регламентами ОРЭМ. Упущенная выгода рассчитывается в случае, если просрочка по поставке мощности привела к сокращению оплачиваемого по договору периода поставки мощности.</w:t>
      </w:r>
    </w:p>
    <w:p>
      <w:pPr>
        <w:pStyle w:val="ListParagraph"/>
        <w:widowControl/>
        <w:shd w:val="clear" w:color="auto" w:fill="FFFFFF"/>
        <w:tabs>
          <w:tab w:val="clear" w:pos="708"/>
          <w:tab w:val="left" w:pos="1276" w:leader="none"/>
        </w:tabs>
        <w:ind w:left="0" w:firstLine="709"/>
        <w:jc w:val="both"/>
        <w:rPr>
          <w:bCs/>
          <w:sz w:val="24"/>
          <w:szCs w:val="24"/>
          <w:highlight w:val="lightGray"/>
        </w:rPr>
      </w:pPr>
      <w:r>
        <w:rPr>
          <w:bCs/>
          <w:sz w:val="24"/>
          <w:szCs w:val="24"/>
          <w:highlight w:val="lightGray"/>
        </w:rPr>
        <w:t xml:space="preserve">В отношении вновь вводимого (модернизируемого) оборудования ТЭС в отдельной территории ценовой зоны оптового рынка, ранее относившейся к неценовой зоне оптового рынка Дальнего Востока Подрядчик дополнительно компенсирует Заказчику упущенную выгоду (выручку) в связи: </w:t>
      </w:r>
    </w:p>
    <w:p>
      <w:pPr>
        <w:pStyle w:val="ListParagraph"/>
        <w:widowControl/>
        <w:shd w:val="clear" w:color="auto" w:fill="FFFFFF"/>
        <w:tabs>
          <w:tab w:val="clear" w:pos="708"/>
          <w:tab w:val="left" w:pos="1276" w:leader="none"/>
        </w:tabs>
        <w:ind w:left="0" w:firstLine="709"/>
        <w:jc w:val="both"/>
        <w:rPr>
          <w:bCs/>
          <w:sz w:val="24"/>
          <w:szCs w:val="24"/>
          <w:highlight w:val="lightGray"/>
        </w:rPr>
      </w:pPr>
      <w:r>
        <w:rPr>
          <w:bCs/>
          <w:sz w:val="24"/>
          <w:szCs w:val="24"/>
          <w:highlight w:val="lightGray"/>
        </w:rPr>
        <w:t>5.7.1. С неоплатой мощности из-за просрочки исполнения обязательства по поставке мощности от модернизированного объекта.</w:t>
      </w:r>
    </w:p>
    <w:p>
      <w:pPr>
        <w:pStyle w:val="ListParagraph"/>
        <w:widowControl/>
        <w:shd w:val="clear" w:color="auto" w:fill="FFFFFF"/>
        <w:tabs>
          <w:tab w:val="clear" w:pos="708"/>
          <w:tab w:val="left" w:pos="1276" w:leader="none"/>
        </w:tabs>
        <w:ind w:left="0" w:firstLine="709"/>
        <w:jc w:val="both"/>
        <w:rPr>
          <w:bCs/>
          <w:sz w:val="24"/>
          <w:szCs w:val="24"/>
          <w:highlight w:val="lightGray"/>
        </w:rPr>
      </w:pPr>
      <w:r>
        <w:rPr>
          <w:bCs/>
          <w:sz w:val="24"/>
          <w:szCs w:val="24"/>
          <w:highlight w:val="lightGray"/>
        </w:rPr>
        <w:t xml:space="preserve">Размер упущенной выгоды для каждого месяца просрочки определяется в соответствии с Правилами ОРЭМ. </w:t>
      </w:r>
    </w:p>
    <w:p>
      <w:pPr>
        <w:pStyle w:val="ListParagraph"/>
        <w:widowControl/>
        <w:shd w:val="clear" w:color="auto" w:fill="FFFFFF"/>
        <w:tabs>
          <w:tab w:val="clear" w:pos="708"/>
          <w:tab w:val="left" w:pos="1276" w:leader="none"/>
        </w:tabs>
        <w:ind w:left="0" w:firstLine="709"/>
        <w:jc w:val="both"/>
        <w:rPr>
          <w:bCs/>
          <w:sz w:val="24"/>
          <w:szCs w:val="24"/>
          <w:highlight w:val="lightGray"/>
        </w:rPr>
      </w:pPr>
      <w:r>
        <w:rPr>
          <w:bCs/>
          <w:sz w:val="24"/>
          <w:szCs w:val="24"/>
          <w:highlight w:val="lightGray"/>
        </w:rPr>
        <w:t>5.7.2. С уменьшением тарифа на мощность генерирующего объекта, в порядке, установленном договором о присоединении к торговой системе оптового рынка, на стоимость реализации всех мероприятий, выполнение которых не подтверждено, и (или) мероприятий в отношении оборудования, в отношении которого не подтверждено требование по локализации, определенную в соответствии с решением Правительства Российской Федерации.</w:t>
      </w:r>
    </w:p>
    <w:p>
      <w:pPr>
        <w:pStyle w:val="ListParagraph"/>
        <w:widowControl/>
        <w:shd w:val="clear" w:color="auto" w:fill="FFFFFF"/>
        <w:tabs>
          <w:tab w:val="clear" w:pos="708"/>
          <w:tab w:val="left" w:pos="1276" w:leader="none"/>
        </w:tabs>
        <w:ind w:left="0" w:firstLine="709"/>
        <w:jc w:val="both"/>
        <w:rPr>
          <w:bCs/>
          <w:sz w:val="24"/>
          <w:szCs w:val="24"/>
          <w:highlight w:val="lightGray"/>
        </w:rPr>
      </w:pPr>
      <w:r>
        <w:rPr>
          <w:bCs/>
          <w:sz w:val="24"/>
          <w:szCs w:val="24"/>
          <w:highlight w:val="lightGray"/>
        </w:rPr>
        <w:t>Размер упущенной выручки определяется как величина капитальных затрат с учетом доходности на мероприятия, в отношении которых не подтверждено требование по локализации.</w:t>
      </w:r>
    </w:p>
    <w:p>
      <w:pPr>
        <w:pStyle w:val="ListParagraph"/>
        <w:widowControl/>
        <w:shd w:val="clear" w:color="auto" w:fill="FFFFFF"/>
        <w:tabs>
          <w:tab w:val="clear" w:pos="708"/>
          <w:tab w:val="left" w:pos="1276" w:leader="none"/>
        </w:tabs>
        <w:ind w:left="0" w:firstLine="709"/>
        <w:jc w:val="both"/>
        <w:rPr>
          <w:bCs/>
          <w:sz w:val="24"/>
          <w:szCs w:val="24"/>
        </w:rPr>
      </w:pPr>
      <w:r>
        <w:rPr>
          <w:bCs/>
          <w:sz w:val="24"/>
          <w:szCs w:val="24"/>
          <w:highlight w:val="lightGray"/>
        </w:rPr>
        <w:t>5.7.3. С применением понижающих коэффициентов к стоимости мощности из-за просрочки исполнения обязательства по поставке мощности от модернизированного объекта и(или) несоответствия объема введенной мощности модернизированного объекта величине, указанной в перечне модернизируемых объектов в отдельной территории ценовой зоны оптового рынка, ранее относившейся к неценовой зоне оптового рынка Дальнего Востока (включенных распоряжениями Правительства Российской Федерации от 17.08.2019 № 1844-р и от 20.02.2021 № 430-р в комплексный план модернизации и расширения магистральной инфраструктуры на период до 2024 года, утвержденный распоряжением Правительства Российской Федерации от 30.09.2018 № 2101-р). Размер упущенной выгоды для каждого месяца просрочки определяется в соответствии с Правилами ОРЭМ».</w:t>
      </w:r>
      <w:r>
        <w:rPr>
          <w:rStyle w:val="FootnoteReference"/>
          <w:bCs/>
          <w:sz w:val="24"/>
          <w:szCs w:val="24"/>
          <w:highlight w:val="lightGray"/>
        </w:rPr>
        <w:footnoteReference w:id="4"/>
      </w:r>
    </w:p>
    <w:p>
      <w:pPr>
        <w:pStyle w:val="ListParagraph"/>
        <w:widowControl/>
        <w:shd w:val="clear" w:color="auto" w:fill="FFFFFF"/>
        <w:tabs>
          <w:tab w:val="clear" w:pos="708"/>
          <w:tab w:val="left" w:pos="1276" w:leader="none"/>
        </w:tabs>
        <w:ind w:left="0" w:firstLine="709"/>
        <w:jc w:val="both"/>
        <w:rPr>
          <w:bCs/>
          <w:sz w:val="24"/>
          <w:szCs w:val="24"/>
        </w:rPr>
      </w:pPr>
      <w:r>
        <w:rPr>
          <w:bCs/>
          <w:sz w:val="24"/>
          <w:szCs w:val="24"/>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отдельной территории ценовой зоны оптового рынка, ранее относившейся к неценовой зоне оптового рынка Дальнего Востока изложена в Приложении № 3 к Договору.</w:t>
      </w:r>
    </w:p>
    <w:p>
      <w:pPr>
        <w:pStyle w:val="ListParagraph"/>
        <w:widowControl/>
        <w:numPr>
          <w:ilvl w:val="1"/>
          <w:numId w:val="2"/>
        </w:numPr>
        <w:shd w:val="clear" w:color="auto" w:fill="FFFFFF"/>
        <w:tabs>
          <w:tab w:val="clear" w:pos="708"/>
          <w:tab w:val="left" w:pos="1276" w:leader="none"/>
        </w:tabs>
        <w:ind w:left="0" w:firstLine="709"/>
        <w:jc w:val="both"/>
        <w:rPr>
          <w:bCs/>
          <w:sz w:val="24"/>
          <w:szCs w:val="24"/>
        </w:rPr>
      </w:pPr>
      <w:r>
        <w:rPr>
          <w:bCs/>
          <w:sz w:val="24"/>
          <w:szCs w:val="24"/>
        </w:rPr>
        <w:t xml:space="preserve">Поставщик несет ответственность перед Покупателем за причиненный ущерб </w:t>
        <w:br/>
        <w:t xml:space="preserve">в размере фактически понесенных и документально подтвержденных расходов, возникших </w:t>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pPr>
        <w:pStyle w:val="ListParagraph"/>
        <w:widowControl/>
        <w:numPr>
          <w:ilvl w:val="1"/>
          <w:numId w:val="2"/>
        </w:numPr>
        <w:shd w:val="clear" w:color="auto" w:fill="FFFFFF"/>
        <w:tabs>
          <w:tab w:val="clear" w:pos="708"/>
          <w:tab w:val="left" w:pos="1276" w:leader="none"/>
          <w:tab w:val="left" w:pos="1418" w:leader="none"/>
        </w:tabs>
        <w:ind w:left="0" w:firstLine="709"/>
        <w:jc w:val="both"/>
        <w:rPr>
          <w:bCs/>
          <w:sz w:val="24"/>
          <w:szCs w:val="24"/>
        </w:rPr>
      </w:pPr>
      <w:r>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widowControl/>
        <w:numPr>
          <w:ilvl w:val="1"/>
          <w:numId w:val="2"/>
        </w:numPr>
        <w:shd w:val="clear" w:color="auto" w:fill="FFFFFF"/>
        <w:tabs>
          <w:tab w:val="clear" w:pos="708"/>
          <w:tab w:val="left" w:pos="1276" w:leader="none"/>
          <w:tab w:val="left" w:pos="1418" w:leader="none"/>
        </w:tabs>
        <w:ind w:left="0" w:firstLine="709"/>
        <w:jc w:val="both"/>
        <w:rPr>
          <w:bCs/>
          <w:sz w:val="24"/>
          <w:szCs w:val="24"/>
        </w:rPr>
      </w:pPr>
      <w:r>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widowControl/>
        <w:numPr>
          <w:ilvl w:val="1"/>
          <w:numId w:val="2"/>
        </w:numPr>
        <w:shd w:val="clear" w:color="auto" w:fill="FFFFFF"/>
        <w:tabs>
          <w:tab w:val="clear" w:pos="708"/>
          <w:tab w:val="left" w:pos="1276" w:leader="none"/>
          <w:tab w:val="left" w:pos="1418" w:leader="none"/>
        </w:tabs>
        <w:ind w:left="0" w:firstLine="709"/>
        <w:jc w:val="both"/>
        <w:rPr>
          <w:bCs/>
          <w:sz w:val="24"/>
          <w:szCs w:val="24"/>
        </w:rPr>
      </w:pPr>
      <w:r>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pPr>
        <w:pStyle w:val="ListParagraph"/>
        <w:widowControl/>
        <w:numPr>
          <w:ilvl w:val="1"/>
          <w:numId w:val="2"/>
        </w:numPr>
        <w:shd w:val="clear" w:color="auto" w:fill="FFFFFF"/>
        <w:tabs>
          <w:tab w:val="clear" w:pos="708"/>
          <w:tab w:val="left" w:pos="1276" w:leader="none"/>
          <w:tab w:val="left" w:pos="1418" w:leader="none"/>
        </w:tabs>
        <w:ind w:left="0" w:firstLine="709"/>
        <w:jc w:val="both"/>
        <w:rPr>
          <w:bCs/>
          <w:sz w:val="24"/>
          <w:szCs w:val="24"/>
        </w:rPr>
      </w:pPr>
      <w:r>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br/>
        <w:t>в письменном требовании,</w:t>
      </w:r>
      <w:r>
        <w:rPr>
          <w:sz w:val="24"/>
          <w:szCs w:val="24"/>
        </w:rPr>
        <w:t xml:space="preserve"> </w:t>
      </w:r>
      <w:r>
        <w:rPr>
          <w:bCs/>
          <w:sz w:val="24"/>
          <w:szCs w:val="24"/>
        </w:rPr>
        <w:t>сумма неустойки, подлежащая уплате виновной Стороной, определяется на основании решения суда.</w:t>
      </w:r>
    </w:p>
    <w:p>
      <w:pPr>
        <w:pStyle w:val="Normal"/>
        <w:shd w:val="clear" w:color="auto" w:fill="FFFFFF"/>
        <w:jc w:val="both"/>
        <w:rPr>
          <w:sz w:val="24"/>
          <w:szCs w:val="24"/>
        </w:rPr>
      </w:pPr>
      <w:r>
        <w:rPr>
          <w:sz w:val="24"/>
          <w:szCs w:val="24"/>
        </w:rPr>
      </w:r>
    </w:p>
    <w:p>
      <w:pPr>
        <w:pStyle w:val="Normal"/>
        <w:shd w:val="clear" w:color="auto" w:fill="FFFFFF"/>
        <w:jc w:val="both"/>
        <w:rPr>
          <w:sz w:val="24"/>
          <w:szCs w:val="24"/>
        </w:rPr>
      </w:pPr>
      <w:r>
        <w:rPr>
          <w:sz w:val="24"/>
          <w:szCs w:val="24"/>
        </w:rPr>
      </w:r>
    </w:p>
    <w:p>
      <w:pPr>
        <w:pStyle w:val="Normal"/>
        <w:shd w:val="clear" w:color="auto" w:fill="FFFFFF"/>
        <w:jc w:val="both"/>
        <w:rPr>
          <w:sz w:val="24"/>
          <w:szCs w:val="24"/>
        </w:rPr>
      </w:pPr>
      <w:r>
        <w:rPr>
          <w:sz w:val="24"/>
          <w:szCs w:val="24"/>
        </w:rPr>
      </w:r>
    </w:p>
    <w:p>
      <w:pPr>
        <w:pStyle w:val="ListParagraph"/>
        <w:widowControl/>
        <w:numPr>
          <w:ilvl w:val="0"/>
          <w:numId w:val="2"/>
        </w:numPr>
        <w:shd w:val="clear" w:color="auto" w:fill="FFFFFF"/>
        <w:tabs>
          <w:tab w:val="clear" w:pos="708"/>
          <w:tab w:val="left" w:pos="0" w:leader="none"/>
          <w:tab w:val="left" w:pos="284" w:leader="none"/>
        </w:tabs>
        <w:ind w:left="0" w:hanging="0"/>
        <w:jc w:val="center"/>
        <w:rPr>
          <w:b/>
          <w:bCs/>
          <w:sz w:val="24"/>
          <w:szCs w:val="24"/>
        </w:rPr>
      </w:pPr>
      <w:r>
        <w:rPr>
          <w:b/>
          <w:bCs/>
          <w:sz w:val="24"/>
          <w:szCs w:val="24"/>
        </w:rPr>
        <w:t>Конфиденциальность</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pPr>
        <w:pStyle w:val="Normal"/>
        <w:widowControl/>
        <w:numPr>
          <w:ilvl w:val="0"/>
          <w:numId w:val="3"/>
        </w:numPr>
        <w:tabs>
          <w:tab w:val="clear" w:pos="708"/>
          <w:tab w:val="left" w:pos="0" w:leader="none"/>
          <w:tab w:val="left" w:pos="709" w:leader="none"/>
          <w:tab w:val="left" w:pos="1418" w:leader="none"/>
        </w:tabs>
        <w:ind w:left="0" w:firstLine="709"/>
        <w:jc w:val="both"/>
        <w:rPr>
          <w:bCs/>
          <w:sz w:val="24"/>
          <w:szCs w:val="24"/>
        </w:rPr>
      </w:pPr>
      <w:r>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widowControl/>
        <w:numPr>
          <w:ilvl w:val="0"/>
          <w:numId w:val="3"/>
        </w:numPr>
        <w:tabs>
          <w:tab w:val="clear" w:pos="708"/>
          <w:tab w:val="left" w:pos="0" w:leader="none"/>
          <w:tab w:val="left" w:pos="709" w:leader="none"/>
          <w:tab w:val="left" w:pos="1418" w:leader="none"/>
        </w:tabs>
        <w:ind w:left="0" w:firstLine="709"/>
        <w:jc w:val="both"/>
        <w:rPr>
          <w:bCs/>
          <w:sz w:val="24"/>
          <w:szCs w:val="24"/>
        </w:rPr>
      </w:pPr>
      <w:r>
        <w:rPr>
          <w:bCs/>
          <w:sz w:val="24"/>
          <w:szCs w:val="24"/>
        </w:rPr>
        <w:t xml:space="preserve">данная Информация не относится к категории общедоступной </w:t>
        <w:br/>
        <w:t>или обязательной к раскрытию Покупателем в соответствии с законодательством Российской Федерации.</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 xml:space="preserve">Условия Договора и сам факт его заключения составляют Информацию </w:t>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Информация может включать в себя, в том числе, но не ограничиваясь:</w:t>
      </w:r>
    </w:p>
    <w:p>
      <w:pPr>
        <w:pStyle w:val="Normal"/>
        <w:widowControl/>
        <w:numPr>
          <w:ilvl w:val="0"/>
          <w:numId w:val="3"/>
        </w:numPr>
        <w:tabs>
          <w:tab w:val="clear" w:pos="708"/>
          <w:tab w:val="left" w:pos="0" w:leader="none"/>
          <w:tab w:val="left" w:pos="1418" w:leader="none"/>
        </w:tabs>
        <w:ind w:left="0" w:firstLine="709"/>
        <w:jc w:val="both"/>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widowControl/>
        <w:numPr>
          <w:ilvl w:val="0"/>
          <w:numId w:val="3"/>
        </w:numPr>
        <w:tabs>
          <w:tab w:val="clear" w:pos="708"/>
          <w:tab w:val="left" w:pos="0" w:leader="none"/>
          <w:tab w:val="left" w:pos="1418" w:leader="none"/>
        </w:tabs>
        <w:ind w:left="0" w:firstLine="709"/>
        <w:jc w:val="both"/>
        <w:rPr>
          <w:bCs/>
          <w:sz w:val="24"/>
          <w:szCs w:val="24"/>
        </w:rPr>
      </w:pPr>
      <w:r>
        <w:rPr>
          <w:bCs/>
          <w:sz w:val="24"/>
          <w:szCs w:val="24"/>
        </w:rPr>
        <w:t>учетные регистры бухгалтерского учета;</w:t>
      </w:r>
    </w:p>
    <w:p>
      <w:pPr>
        <w:pStyle w:val="Normal"/>
        <w:widowControl/>
        <w:numPr>
          <w:ilvl w:val="0"/>
          <w:numId w:val="3"/>
        </w:numPr>
        <w:tabs>
          <w:tab w:val="clear" w:pos="708"/>
          <w:tab w:val="left" w:pos="0" w:leader="none"/>
          <w:tab w:val="left" w:pos="1418" w:leader="none"/>
        </w:tabs>
        <w:ind w:left="0" w:firstLine="709"/>
        <w:jc w:val="both"/>
        <w:rPr>
          <w:bCs/>
          <w:sz w:val="24"/>
          <w:szCs w:val="24"/>
        </w:rPr>
      </w:pPr>
      <w:r>
        <w:rPr>
          <w:bCs/>
          <w:sz w:val="24"/>
          <w:szCs w:val="24"/>
        </w:rPr>
        <w:t>бизнес-планы;</w:t>
      </w:r>
    </w:p>
    <w:p>
      <w:pPr>
        <w:pStyle w:val="Normal"/>
        <w:widowControl/>
        <w:numPr>
          <w:ilvl w:val="0"/>
          <w:numId w:val="3"/>
        </w:numPr>
        <w:tabs>
          <w:tab w:val="clear" w:pos="708"/>
          <w:tab w:val="left" w:pos="0" w:leader="none"/>
          <w:tab w:val="left" w:pos="1418" w:leader="none"/>
        </w:tabs>
        <w:ind w:left="0" w:firstLine="709"/>
        <w:jc w:val="both"/>
        <w:rPr>
          <w:bCs/>
          <w:sz w:val="24"/>
          <w:szCs w:val="24"/>
        </w:rPr>
      </w:pPr>
      <w:r>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pPr>
        <w:pStyle w:val="Normal"/>
        <w:widowControl/>
        <w:numPr>
          <w:ilvl w:val="0"/>
          <w:numId w:val="3"/>
        </w:numPr>
        <w:tabs>
          <w:tab w:val="clear" w:pos="708"/>
          <w:tab w:val="left" w:pos="0" w:leader="none"/>
          <w:tab w:val="left" w:pos="1418" w:leader="none"/>
        </w:tabs>
        <w:ind w:left="0" w:firstLine="709"/>
        <w:jc w:val="both"/>
        <w:rPr>
          <w:bCs/>
          <w:sz w:val="24"/>
          <w:szCs w:val="24"/>
        </w:rPr>
      </w:pPr>
      <w:r>
        <w:rPr>
          <w:bCs/>
          <w:sz w:val="24"/>
          <w:szCs w:val="24"/>
        </w:rPr>
        <w:t>сведения о финансовых, правовых, организационных и других взаимоотношениях между Покупателем и третьими лицами;</w:t>
      </w:r>
    </w:p>
    <w:p>
      <w:pPr>
        <w:pStyle w:val="Normal"/>
        <w:widowControl/>
        <w:numPr>
          <w:ilvl w:val="0"/>
          <w:numId w:val="3"/>
        </w:numPr>
        <w:tabs>
          <w:tab w:val="clear" w:pos="708"/>
          <w:tab w:val="left" w:pos="0" w:leader="none"/>
          <w:tab w:val="left" w:pos="1418" w:leader="none"/>
        </w:tabs>
        <w:ind w:left="0" w:firstLine="709"/>
        <w:jc w:val="both"/>
        <w:rPr>
          <w:bCs/>
          <w:sz w:val="24"/>
          <w:szCs w:val="24"/>
        </w:rPr>
      </w:pPr>
      <w:r>
        <w:rPr>
          <w:bCs/>
          <w:sz w:val="24"/>
          <w:szCs w:val="24"/>
        </w:rPr>
        <w:t xml:space="preserve">сведения о находящихся на регистрации товарных знаках Покупателя, а также </w:t>
        <w:br/>
        <w:t>об объектах интеллектуальной собственности Покупателя, сведения о которых не являются опубликованными;</w:t>
      </w:r>
    </w:p>
    <w:p>
      <w:pPr>
        <w:pStyle w:val="Normal"/>
        <w:widowControl/>
        <w:numPr>
          <w:ilvl w:val="0"/>
          <w:numId w:val="3"/>
        </w:numPr>
        <w:tabs>
          <w:tab w:val="clear" w:pos="708"/>
          <w:tab w:val="left" w:pos="0" w:leader="none"/>
          <w:tab w:val="left" w:pos="1418" w:leader="none"/>
        </w:tabs>
        <w:ind w:left="0" w:firstLine="709"/>
        <w:jc w:val="both"/>
        <w:rPr>
          <w:bCs/>
          <w:sz w:val="24"/>
          <w:szCs w:val="24"/>
        </w:rPr>
      </w:pPr>
      <w:r>
        <w:rPr>
          <w:bCs/>
          <w:sz w:val="24"/>
          <w:szCs w:val="24"/>
        </w:rPr>
        <w:t xml:space="preserve">сведения о Поставщиках, поставщиках оборудования и материалов, а также </w:t>
        <w:br/>
        <w:t>о покупателях продукции Покупателя и их аффилированных лицах;</w:t>
      </w:r>
    </w:p>
    <w:p>
      <w:pPr>
        <w:pStyle w:val="Normal"/>
        <w:widowControl/>
        <w:numPr>
          <w:ilvl w:val="0"/>
          <w:numId w:val="3"/>
        </w:numPr>
        <w:tabs>
          <w:tab w:val="clear" w:pos="708"/>
          <w:tab w:val="left" w:pos="0" w:leader="none"/>
          <w:tab w:val="left" w:pos="1418" w:leader="none"/>
        </w:tabs>
        <w:ind w:left="0" w:firstLine="709"/>
        <w:jc w:val="both"/>
        <w:rPr>
          <w:bCs/>
          <w:sz w:val="24"/>
          <w:szCs w:val="24"/>
        </w:rPr>
      </w:pPr>
      <w:r>
        <w:rPr>
          <w:bCs/>
          <w:sz w:val="24"/>
          <w:szCs w:val="24"/>
        </w:rPr>
        <w:t>сведения об объемах производства и / или реализации продукции и услуг Покупателя или его аффилированных лиц;</w:t>
      </w:r>
    </w:p>
    <w:p>
      <w:pPr>
        <w:pStyle w:val="Normal"/>
        <w:widowControl/>
        <w:numPr>
          <w:ilvl w:val="0"/>
          <w:numId w:val="3"/>
        </w:numPr>
        <w:tabs>
          <w:tab w:val="clear" w:pos="708"/>
          <w:tab w:val="left" w:pos="0" w:leader="none"/>
          <w:tab w:val="left" w:pos="1418" w:leader="none"/>
        </w:tabs>
        <w:ind w:left="0" w:firstLine="709"/>
        <w:jc w:val="both"/>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bookmarkStart w:id="5" w:name="_Ref361337849"/>
      <w:r>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sz w:val="24"/>
          <w:szCs w:val="24"/>
        </w:rPr>
        <w:t xml:space="preserve"> </w:t>
      </w:r>
      <w:r>
        <w:rPr>
          <w:bCs/>
          <w:sz w:val="24"/>
          <w:szCs w:val="24"/>
        </w:rPr>
        <w:t>(расторжения) или исполнения, в том числе:</w:t>
      </w:r>
      <w:bookmarkEnd w:id="5"/>
      <w:r>
        <w:rPr>
          <w:bCs/>
          <w:sz w:val="24"/>
          <w:szCs w:val="24"/>
        </w:rPr>
        <w:t xml:space="preserve"> </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Не разглашать, не обсуждать содержание, не предоставлять копий, </w:t>
        <w:br/>
        <w:t xml:space="preserve">не публиковать и не </w:t>
      </w:r>
      <w:r>
        <w:rPr>
          <w:sz w:val="24"/>
          <w:szCs w:val="24"/>
        </w:rPr>
        <w:t>раскрывать</w:t>
      </w:r>
      <w:r>
        <w:rPr>
          <w:bCs/>
          <w:sz w:val="24"/>
          <w:szCs w:val="24"/>
        </w:rPr>
        <w:t xml:space="preserve"> в какой-либо иной форме третьим лицам Информацию </w:t>
        <w:br/>
        <w:t>без получения предварительного письменного согласия Покупателя, за исключением случаев, предусмотренных законодательством Российской Федерации .</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br/>
        <w:t>в отношении защиты Информации обычно используемые им меры защиты.</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Использовать Информацию исключительно для целей, для которых она была предоставлена. </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br/>
        <w:t xml:space="preserve">на технических средствах Поставщика. При этом Покупатель признает, что обязательства </w:t>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br/>
        <w:t xml:space="preserve">или методики создания резервных копий. </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bookmarkStart w:id="6" w:name="_Ref361337832"/>
      <w:r>
        <w:rPr>
          <w:bCs/>
          <w:sz w:val="24"/>
          <w:szCs w:val="24"/>
        </w:rPr>
        <w:t xml:space="preserve">Раскрывать Информацию своим работникам, членам органов управления </w:t>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br/>
        <w:t>за свои собственные.</w:t>
      </w:r>
      <w:bookmarkEnd w:id="6"/>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Не разглашать третьим лицам факты передачи или получения Информации.</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bookmarkStart w:id="7" w:name="_Ref361337863"/>
      <w:r>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br/>
        <w:t>с даты получения соответствующего письменного требования Покупателя.</w:t>
      </w:r>
      <w:bookmarkEnd w:id="7"/>
    </w:p>
    <w:p>
      <w:pPr>
        <w:pStyle w:val="Norma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pPr>
        <w:pStyle w:val="ListParagraph"/>
        <w:widowControl/>
        <w:shd w:val="clear" w:color="auto" w:fill="FFFFFF"/>
        <w:tabs>
          <w:tab w:val="clear" w:pos="708"/>
          <w:tab w:val="left" w:pos="1134" w:leader="none"/>
        </w:tabs>
        <w:ind w:left="709" w:hanging="0"/>
        <w:jc w:val="both"/>
        <w:rPr>
          <w:sz w:val="24"/>
          <w:szCs w:val="24"/>
        </w:rPr>
      </w:pPr>
      <w:r>
        <w:rPr>
          <w:sz w:val="24"/>
          <w:szCs w:val="24"/>
        </w:rPr>
      </w:r>
    </w:p>
    <w:p>
      <w:pPr>
        <w:pStyle w:val="ListParagraph"/>
        <w:widowControl/>
        <w:numPr>
          <w:ilvl w:val="0"/>
          <w:numId w:val="2"/>
        </w:numPr>
        <w:shd w:val="clear" w:color="auto" w:fill="FFFFFF"/>
        <w:tabs>
          <w:tab w:val="clear" w:pos="708"/>
          <w:tab w:val="left" w:pos="426" w:leader="none"/>
        </w:tabs>
        <w:ind w:left="0" w:hanging="0"/>
        <w:jc w:val="center"/>
        <w:rPr>
          <w:b/>
          <w:bCs/>
          <w:sz w:val="24"/>
          <w:szCs w:val="24"/>
        </w:rPr>
      </w:pPr>
      <w:r>
        <w:rPr>
          <w:b/>
          <w:bCs/>
          <w:sz w:val="24"/>
          <w:szCs w:val="24"/>
        </w:rPr>
        <w:t>Разрешение споров</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Все споры, разногласия и требования, возникающие между Сторонами </w:t>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Споры, указанные в пункте 7.1 Договора, которые не были урегулированы Сторонами путем переговоров, подлежат разрешению в Арбитражном суде </w:t>
      </w:r>
      <w:r>
        <w:rPr>
          <w:bCs/>
          <w:sz w:val="24"/>
          <w:szCs w:val="24"/>
          <w:highlight w:val="lightGray"/>
        </w:rPr>
        <w:t>Самарской области</w:t>
      </w:r>
      <w:r>
        <w:rPr>
          <w:bCs/>
          <w:sz w:val="24"/>
          <w:szCs w:val="24"/>
        </w:rPr>
        <w:t xml:space="preserve"> в соответствии с законодательством Российской Федерации.</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13.8 Договора.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Срок для рассмотрения претензии – 15 (пятнадцать) рабочих дней со дня </w:t>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br/>
        <w:t>с иском в суд.</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Условия настоящего раздела сохраняют свою силу в случае признания Договора незаключенным и / или недействительным.</w:t>
      </w:r>
    </w:p>
    <w:p>
      <w:pPr>
        <w:pStyle w:val="Normal"/>
        <w:shd w:val="clear" w:color="auto" w:fill="FFFFFF"/>
        <w:jc w:val="both"/>
        <w:rPr>
          <w:bCs/>
          <w:sz w:val="24"/>
          <w:szCs w:val="24"/>
        </w:rPr>
      </w:pPr>
      <w:r>
        <w:rPr>
          <w:bCs/>
          <w:sz w:val="24"/>
          <w:szCs w:val="24"/>
        </w:rPr>
      </w:r>
    </w:p>
    <w:p>
      <w:pPr>
        <w:pStyle w:val="ListParagraph"/>
        <w:widowControl/>
        <w:numPr>
          <w:ilvl w:val="0"/>
          <w:numId w:val="2"/>
        </w:numPr>
        <w:shd w:val="clear" w:color="auto" w:fill="FFFFFF"/>
        <w:tabs>
          <w:tab w:val="clear" w:pos="708"/>
          <w:tab w:val="left" w:pos="426" w:leader="none"/>
        </w:tabs>
        <w:ind w:left="0" w:hanging="0"/>
        <w:jc w:val="center"/>
        <w:rPr>
          <w:b/>
          <w:bCs/>
          <w:sz w:val="24"/>
          <w:szCs w:val="24"/>
        </w:rPr>
      </w:pPr>
      <w:r>
        <w:rPr>
          <w:b/>
          <w:bCs/>
          <w:sz w:val="24"/>
          <w:szCs w:val="24"/>
        </w:rPr>
        <w:t>Антикоррупционная оговорка</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bCs/>
          <w:color w:val="000000"/>
          <w:sz w:val="24"/>
          <w:szCs w:val="24"/>
        </w:rPr>
        <w:t xml:space="preserve"> </w:t>
      </w:r>
      <w:r>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bCs/>
          <w:color w:val="000000"/>
          <w:sz w:val="24"/>
          <w:szCs w:val="24"/>
        </w:rPr>
        <w:t xml:space="preserve">  </w:t>
      </w:r>
      <w:r>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bCs/>
          <w:color w:val="000000"/>
          <w:sz w:val="24"/>
          <w:szCs w:val="24"/>
        </w:rPr>
        <w:t xml:space="preserve"> </w:t>
      </w:r>
      <w:r>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bCs/>
          <w:color w:val="000000"/>
          <w:sz w:val="24"/>
          <w:szCs w:val="24"/>
        </w:rPr>
        <w:t xml:space="preserve"> </w:t>
      </w:r>
      <w:r>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bCs/>
          <w:color w:val="000000"/>
          <w:sz w:val="24"/>
          <w:szCs w:val="24"/>
        </w:rPr>
        <w:t xml:space="preserve"> </w:t>
      </w:r>
      <w:r>
        <w:rPr>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bCs/>
          <w:color w:val="000000"/>
          <w:sz w:val="24"/>
          <w:szCs w:val="24"/>
        </w:rPr>
        <w:t xml:space="preserve"> </w:t>
      </w:r>
      <w:r>
        <w:rPr>
          <w:color w:val="000000"/>
          <w:sz w:val="24"/>
          <w:szCs w:val="24"/>
        </w:rPr>
        <w:t xml:space="preserve">Каналы связи Линия доверия Группы РусГидро: </w:t>
      </w:r>
    </w:p>
    <w:p>
      <w:pPr>
        <w:pStyle w:val="ListParagraph"/>
        <w:shd w:val="clear" w:color="auto" w:fill="FFFFFF"/>
        <w:tabs>
          <w:tab w:val="clear" w:pos="708"/>
          <w:tab w:val="left" w:pos="1134" w:leader="none"/>
        </w:tabs>
        <w:ind w:left="0" w:hanging="0"/>
        <w:jc w:val="both"/>
        <w:rPr>
          <w:bCs/>
          <w:color w:val="000000"/>
          <w:sz w:val="24"/>
          <w:szCs w:val="24"/>
        </w:rPr>
      </w:pPr>
      <w:r>
        <w:rPr>
          <w:color w:val="000000"/>
          <w:sz w:val="24"/>
          <w:szCs w:val="24"/>
        </w:rPr>
        <w:t xml:space="preserve">            </w:t>
      </w:r>
      <w:r>
        <w:rPr>
          <w:color w:val="000000"/>
          <w:sz w:val="24"/>
          <w:szCs w:val="24"/>
        </w:rPr>
        <w:t xml:space="preserve">8.7.1. </w:t>
      </w:r>
      <w:r>
        <w:rPr>
          <w:sz w:val="24"/>
          <w:szCs w:val="24"/>
        </w:rPr>
        <w:t xml:space="preserve">Электронная почта: </w:t>
      </w:r>
      <w:hyperlink r:id="rId2">
        <w:r>
          <w:rPr>
            <w:rStyle w:val="Hyperlink"/>
            <w:sz w:val="24"/>
            <w:szCs w:val="24"/>
          </w:rPr>
          <w:t>ld@rushydro.ru</w:t>
        </w:r>
      </w:hyperlink>
      <w:r>
        <w:rPr>
          <w:sz w:val="24"/>
          <w:szCs w:val="24"/>
        </w:rPr>
        <w:t>.</w:t>
      </w:r>
    </w:p>
    <w:p>
      <w:pPr>
        <w:pStyle w:val="ListParagraph"/>
        <w:shd w:val="clear" w:color="auto" w:fill="FFFFFF"/>
        <w:tabs>
          <w:tab w:val="clear" w:pos="708"/>
          <w:tab w:val="left" w:pos="1134" w:leader="none"/>
        </w:tabs>
        <w:ind w:left="0" w:firstLine="709"/>
        <w:jc w:val="both"/>
        <w:rPr>
          <w:bCs/>
          <w:color w:val="000000"/>
          <w:sz w:val="24"/>
          <w:szCs w:val="24"/>
        </w:rPr>
      </w:pPr>
      <w:r>
        <w:rPr>
          <w:sz w:val="24"/>
          <w:szCs w:val="24"/>
        </w:rPr>
        <w:t>8.7.2.   Специальная форма «обратной связи», размещенная на официальном сайте ПАО "РусГидро" в сети интернет: http://www.rushydro.ru/ (далее перейти по ссылке «Линия доверия» и заполнить поля специальной формы «обратной связи»);</w:t>
      </w:r>
    </w:p>
    <w:p>
      <w:pPr>
        <w:pStyle w:val="Normal"/>
        <w:ind w:firstLine="709"/>
        <w:jc w:val="both"/>
        <w:rPr>
          <w:sz w:val="24"/>
          <w:szCs w:val="24"/>
        </w:rPr>
      </w:pPr>
      <w:r>
        <w:rPr>
          <w:sz w:val="24"/>
          <w:szCs w:val="24"/>
        </w:rPr>
        <w:t>8.7.3. 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ListParagraph"/>
        <w:shd w:val="clear" w:color="auto" w:fill="FFFFFF"/>
        <w:tabs>
          <w:tab w:val="clear" w:pos="708"/>
          <w:tab w:val="left" w:pos="0" w:leader="none"/>
          <w:tab w:val="left" w:pos="284" w:leader="none"/>
          <w:tab w:val="left" w:pos="567" w:leader="none"/>
        </w:tabs>
        <w:ind w:left="0" w:firstLine="709"/>
        <w:jc w:val="both"/>
        <w:rPr>
          <w:b/>
          <w:bCs/>
          <w:sz w:val="24"/>
          <w:szCs w:val="24"/>
        </w:rPr>
      </w:pPr>
      <w:r>
        <w:rPr>
          <w:b/>
          <w:bCs/>
          <w:sz w:val="24"/>
          <w:szCs w:val="24"/>
        </w:rPr>
      </w:r>
    </w:p>
    <w:p>
      <w:pPr>
        <w:pStyle w:val="ListParagraph"/>
        <w:widowControl/>
        <w:numPr>
          <w:ilvl w:val="0"/>
          <w:numId w:val="2"/>
        </w:numPr>
        <w:shd w:val="clear" w:color="auto" w:fill="FFFFFF"/>
        <w:tabs>
          <w:tab w:val="clear" w:pos="708"/>
          <w:tab w:val="left" w:pos="426" w:leader="none"/>
        </w:tabs>
        <w:ind w:left="0" w:hanging="0"/>
        <w:jc w:val="center"/>
        <w:rPr>
          <w:b/>
          <w:bCs/>
          <w:sz w:val="24"/>
          <w:szCs w:val="24"/>
        </w:rPr>
      </w:pPr>
      <w:r>
        <w:rPr>
          <w:b/>
          <w:bCs/>
          <w:sz w:val="24"/>
          <w:szCs w:val="24"/>
        </w:rPr>
        <w:t>Обстоятельства непреодолимой силы (форс-мажор)</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Сторона имеет право ссылаться на обстоятельства непреодолимой силы только </w:t>
        <w:br/>
        <w:t>в случае, если такие обстоятельства непосредственно повлияли на возможность исполнения этой Стороной условий Договора.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br/>
        <w:t>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Отсутствие уведомления или несвоевременное уведомление </w:t>
        <w:br/>
        <w:t xml:space="preserve">об обстоятельствах непреодолимой силы лишает соответствующую Сторону права </w:t>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 xml:space="preserve">При этом любая из Сторон вправе отказаться от исполнения Договора </w:t>
        <w:br/>
        <w:t>в одностороннем внесудебном порядке.</w:t>
      </w:r>
    </w:p>
    <w:p>
      <w:pPr>
        <w:pStyle w:val="Normal"/>
        <w:shd w:val="clear" w:color="auto" w:fill="FFFFFF"/>
        <w:jc w:val="both"/>
        <w:rPr>
          <w:sz w:val="24"/>
          <w:szCs w:val="24"/>
        </w:rPr>
      </w:pPr>
      <w:r>
        <w:rPr>
          <w:sz w:val="24"/>
          <w:szCs w:val="24"/>
        </w:rPr>
      </w:r>
    </w:p>
    <w:p>
      <w:pPr>
        <w:pStyle w:val="Normal"/>
        <w:widowControl/>
        <w:numPr>
          <w:ilvl w:val="0"/>
          <w:numId w:val="2"/>
        </w:numPr>
        <w:shd w:val="clear" w:color="auto" w:fill="FFFFFF"/>
        <w:tabs>
          <w:tab w:val="clear" w:pos="708"/>
          <w:tab w:val="left" w:pos="426" w:leader="none"/>
        </w:tabs>
        <w:spacing w:lineRule="auto" w:line="259" w:before="0" w:after="0"/>
        <w:ind w:left="0" w:hanging="0"/>
        <w:contextualSpacing/>
        <w:jc w:val="center"/>
        <w:rPr>
          <w:b/>
          <w:bCs/>
          <w:sz w:val="24"/>
          <w:szCs w:val="24"/>
        </w:rPr>
      </w:pPr>
      <w:r>
        <w:rPr>
          <w:b/>
          <w:bCs/>
          <w:sz w:val="24"/>
          <w:szCs w:val="24"/>
        </w:rPr>
        <w:t>Особые положения</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3">
        <w:r>
          <w:rPr>
            <w:bCs/>
            <w:sz w:val="24"/>
            <w:szCs w:val="24"/>
          </w:rPr>
          <w:t>№ 18162/09</w:t>
        </w:r>
      </w:hyperlink>
      <w:r>
        <w:rPr>
          <w:bCs/>
          <w:sz w:val="24"/>
          <w:szCs w:val="24"/>
        </w:rPr>
        <w:t xml:space="preserve"> и от 25.05.2010 </w:t>
      </w:r>
      <w:hyperlink r:id="rId4">
        <w:r>
          <w:rPr>
            <w:bCs/>
            <w:sz w:val="24"/>
            <w:szCs w:val="24"/>
          </w:rPr>
          <w:t>№ 15658/09</w:t>
        </w:r>
      </w:hyperlink>
      <w:r>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5">
        <w:r>
          <w:rPr>
            <w:bCs/>
            <w:sz w:val="24"/>
            <w:szCs w:val="24"/>
          </w:rPr>
          <w:t>Критери</w:t>
        </w:r>
      </w:hyperlink>
      <w:r>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пункте 10.1 Договора, а также обеспечить прекращение участия таких организаций в исполнении Договора.</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В случае нарушения Поставщиком обязательств, установленных пунктами 10.1, 10.2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10.1, 10.2 Договора.</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Штраф, предусмотренный пунктом 10.4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10.3 Договора.</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10.4 Договора. При этом Покупатель не будет считаться просрочившим и / или нарушившим свои обязательства по Договору.</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Независимо от других положений Договора, положения пунктов 10.4, 10.5 Договора продолжают действовать в течение 4 (четырех) лет после его прекращения (расторжения) или исполнения.</w:t>
      </w:r>
    </w:p>
    <w:p>
      <w:pPr>
        <w:pStyle w:val="Normal"/>
        <w:shd w:val="clear" w:color="auto" w:fill="FFFFFF"/>
        <w:jc w:val="both"/>
        <w:rPr>
          <w:sz w:val="24"/>
          <w:szCs w:val="24"/>
        </w:rPr>
      </w:pPr>
      <w:r>
        <w:rPr>
          <w:sz w:val="24"/>
          <w:szCs w:val="24"/>
        </w:rPr>
      </w:r>
    </w:p>
    <w:p>
      <w:pPr>
        <w:pStyle w:val="ListParagraph"/>
        <w:widowControl/>
        <w:numPr>
          <w:ilvl w:val="0"/>
          <w:numId w:val="2"/>
        </w:numPr>
        <w:shd w:val="clear" w:color="auto" w:fill="FFFFFF"/>
        <w:tabs>
          <w:tab w:val="clear" w:pos="708"/>
          <w:tab w:val="left" w:pos="426" w:leader="none"/>
          <w:tab w:val="left" w:pos="567" w:leader="none"/>
        </w:tabs>
        <w:ind w:left="0" w:hanging="0"/>
        <w:jc w:val="center"/>
        <w:rPr>
          <w:b/>
          <w:sz w:val="24"/>
          <w:szCs w:val="24"/>
        </w:rPr>
      </w:pPr>
      <w:r>
        <w:rPr>
          <w:b/>
          <w:bCs/>
          <w:sz w:val="24"/>
          <w:szCs w:val="24"/>
        </w:rPr>
        <w:t>Заверения</w:t>
      </w:r>
      <w:r>
        <w:rPr>
          <w:b/>
          <w:sz w:val="24"/>
          <w:szCs w:val="24"/>
        </w:rPr>
        <w:t xml:space="preserve"> Сторон</w:t>
      </w:r>
    </w:p>
    <w:p>
      <w:pPr>
        <w:pStyle w:val="ListParagraph"/>
        <w:widowControl/>
        <w:numPr>
          <w:ilvl w:val="1"/>
          <w:numId w:val="2"/>
        </w:numPr>
        <w:shd w:val="clear" w:color="auto" w:fill="FFFFFF"/>
        <w:tabs>
          <w:tab w:val="clear" w:pos="708"/>
          <w:tab w:val="left" w:pos="0" w:leader="none"/>
          <w:tab w:val="left" w:pos="1134" w:leader="none"/>
          <w:tab w:val="left" w:pos="1418" w:leader="none"/>
        </w:tabs>
        <w:ind w:left="0" w:firstLine="709"/>
        <w:jc w:val="both"/>
        <w:rPr>
          <w:sz w:val="24"/>
          <w:szCs w:val="24"/>
        </w:rPr>
      </w:pPr>
      <w:r>
        <w:rPr>
          <w:bCs/>
          <w:sz w:val="24"/>
          <w:szCs w:val="24"/>
        </w:rPr>
        <w:t>Каждая</w:t>
      </w:r>
      <w:r>
        <w:rPr>
          <w:sz w:val="24"/>
          <w:szCs w:val="24"/>
        </w:rPr>
        <w:t xml:space="preserve"> из Сторон заявляет и подтверждает другой Стороне, что: </w:t>
      </w:r>
    </w:p>
    <w:p>
      <w:pPr>
        <w:pStyle w:val="ListParagraph"/>
        <w:widowControl/>
        <w:numPr>
          <w:ilvl w:val="0"/>
          <w:numId w:val="5"/>
        </w:numPr>
        <w:shd w:val="clear" w:color="auto" w:fill="FFFFFF"/>
        <w:tabs>
          <w:tab w:val="clear" w:pos="708"/>
          <w:tab w:val="left" w:pos="0" w:leader="none"/>
          <w:tab w:val="left" w:pos="709" w:leader="none"/>
          <w:tab w:val="left" w:pos="1418" w:leader="none"/>
        </w:tabs>
        <w:ind w:left="0" w:firstLine="709"/>
        <w:jc w:val="both"/>
        <w:rPr>
          <w:sz w:val="24"/>
          <w:szCs w:val="24"/>
        </w:rPr>
      </w:pPr>
      <w:r>
        <w:rPr>
          <w:sz w:val="24"/>
          <w:szCs w:val="24"/>
        </w:rPr>
        <w:t xml:space="preserve">она является юридическим лицом, надлежащим образом учрежденным </w:t>
        <w:br/>
        <w:t>и правомерно осуществляющим свою деятельность в соответствии с законодательством Российской Федерации;</w:t>
      </w:r>
    </w:p>
    <w:p>
      <w:pPr>
        <w:pStyle w:val="ListParagraph"/>
        <w:widowControl/>
        <w:numPr>
          <w:ilvl w:val="0"/>
          <w:numId w:val="5"/>
        </w:numPr>
        <w:shd w:val="clear" w:color="auto" w:fill="FFFFFF"/>
        <w:tabs>
          <w:tab w:val="clear" w:pos="708"/>
          <w:tab w:val="left" w:pos="0" w:leader="none"/>
          <w:tab w:val="left" w:pos="709" w:leader="none"/>
          <w:tab w:val="left" w:pos="1418" w:leader="none"/>
        </w:tabs>
        <w:ind w:left="0" w:firstLine="709"/>
        <w:jc w:val="both"/>
        <w:rPr>
          <w:sz w:val="24"/>
          <w:szCs w:val="24"/>
        </w:rPr>
      </w:pPr>
      <w:r>
        <w:rPr>
          <w:sz w:val="24"/>
          <w:szCs w:val="24"/>
        </w:rPr>
        <w:t xml:space="preserve">она обладает полной правоспособностью на заключение Договора </w:t>
        <w:br/>
        <w:t>и исполнение всех своих обязательств, возникающих из Договора или в связи с ним;</w:t>
      </w:r>
    </w:p>
    <w:p>
      <w:pPr>
        <w:pStyle w:val="ListParagraph"/>
        <w:widowControl/>
        <w:numPr>
          <w:ilvl w:val="0"/>
          <w:numId w:val="5"/>
        </w:numPr>
        <w:shd w:val="clear" w:color="auto" w:fill="FFFFFF"/>
        <w:tabs>
          <w:tab w:val="clear" w:pos="708"/>
          <w:tab w:val="left" w:pos="0" w:leader="none"/>
          <w:tab w:val="left" w:pos="709" w:leader="none"/>
          <w:tab w:val="left" w:pos="1418" w:leader="none"/>
        </w:tabs>
        <w:ind w:left="0" w:firstLine="709"/>
        <w:jc w:val="both"/>
        <w:rPr>
          <w:sz w:val="24"/>
          <w:szCs w:val="24"/>
        </w:rPr>
      </w:pPr>
      <w:r>
        <w:rPr>
          <w:sz w:val="24"/>
          <w:szCs w:val="24"/>
        </w:rPr>
        <w:t xml:space="preserve">она получила все корпоративные одобрения Договора органами управления </w:t>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br/>
        <w:t>и иных лиц, необходимые для заключения и исполнения Договора;</w:t>
      </w:r>
    </w:p>
    <w:p>
      <w:pPr>
        <w:pStyle w:val="ListParagraph"/>
        <w:widowControl/>
        <w:numPr>
          <w:ilvl w:val="0"/>
          <w:numId w:val="5"/>
        </w:numPr>
        <w:shd w:val="clear" w:color="auto" w:fill="FFFFFF"/>
        <w:tabs>
          <w:tab w:val="clear" w:pos="708"/>
          <w:tab w:val="left" w:pos="0" w:leader="none"/>
          <w:tab w:val="left" w:pos="709" w:leader="none"/>
          <w:tab w:val="left" w:pos="1418" w:leader="none"/>
        </w:tabs>
        <w:ind w:left="0" w:firstLine="709"/>
        <w:jc w:val="both"/>
        <w:rPr>
          <w:sz w:val="24"/>
          <w:szCs w:val="24"/>
        </w:rPr>
      </w:pPr>
      <w:r>
        <w:rPr>
          <w:sz w:val="24"/>
          <w:szCs w:val="24"/>
        </w:rPr>
        <w:t>лица, подписывающие от имени Сторон Договор, надлежащим образом уполномочены на его подписание;</w:t>
      </w:r>
    </w:p>
    <w:p>
      <w:pPr>
        <w:pStyle w:val="ListParagraph"/>
        <w:widowControl/>
        <w:numPr>
          <w:ilvl w:val="0"/>
          <w:numId w:val="5"/>
        </w:numPr>
        <w:shd w:val="clear" w:color="auto" w:fill="FFFFFF"/>
        <w:tabs>
          <w:tab w:val="clear" w:pos="708"/>
          <w:tab w:val="left" w:pos="0" w:leader="none"/>
          <w:tab w:val="left" w:pos="709" w:leader="none"/>
          <w:tab w:val="left" w:pos="1418" w:leader="none"/>
        </w:tabs>
        <w:ind w:left="0" w:firstLine="709"/>
        <w:jc w:val="both"/>
        <w:rPr>
          <w:sz w:val="24"/>
          <w:szCs w:val="24"/>
        </w:rPr>
      </w:pPr>
      <w:r>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br/>
        <w:t xml:space="preserve">или в связи с ним.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Поставщик заявляет и заверяет Покупателя в том, что на момент заключения Договора:</w:t>
      </w:r>
    </w:p>
    <w:p>
      <w:pPr>
        <w:pStyle w:val="ListParagraph"/>
        <w:widowControl/>
        <w:numPr>
          <w:ilvl w:val="0"/>
          <w:numId w:val="7"/>
        </w:numPr>
        <w:shd w:val="clear" w:color="auto" w:fill="FFFFFF"/>
        <w:tabs>
          <w:tab w:val="clear" w:pos="708"/>
          <w:tab w:val="left" w:pos="0" w:leader="none"/>
          <w:tab w:val="left" w:pos="709" w:leader="none"/>
        </w:tabs>
        <w:ind w:left="0" w:firstLine="709"/>
        <w:jc w:val="both"/>
        <w:rPr>
          <w:sz w:val="24"/>
          <w:szCs w:val="24"/>
        </w:rPr>
      </w:pPr>
      <w:r>
        <w:rPr>
          <w:sz w:val="24"/>
          <w:szCs w:val="24"/>
        </w:rPr>
        <w:t>учредителем / учредителями Поставщика являются лица, не являющиеся массовыми учредителем / учредителями;</w:t>
      </w:r>
    </w:p>
    <w:p>
      <w:pPr>
        <w:pStyle w:val="ListParagraph"/>
        <w:widowControl/>
        <w:numPr>
          <w:ilvl w:val="0"/>
          <w:numId w:val="7"/>
        </w:numPr>
        <w:shd w:val="clear" w:color="auto" w:fill="FFFFFF"/>
        <w:tabs>
          <w:tab w:val="clear" w:pos="708"/>
          <w:tab w:val="left" w:pos="0" w:leader="none"/>
          <w:tab w:val="left" w:pos="709" w:leader="none"/>
        </w:tabs>
        <w:ind w:left="0" w:firstLine="709"/>
        <w:jc w:val="both"/>
        <w:rPr>
          <w:sz w:val="24"/>
          <w:szCs w:val="24"/>
        </w:rPr>
      </w:pPr>
      <w:r>
        <w:rPr>
          <w:sz w:val="24"/>
          <w:szCs w:val="24"/>
        </w:rPr>
        <w:t>руководителем Поставщика является лицо, не являющееся массовым руководителем;</w:t>
      </w:r>
    </w:p>
    <w:p>
      <w:pPr>
        <w:pStyle w:val="ListParagraph"/>
        <w:widowControl/>
        <w:numPr>
          <w:ilvl w:val="0"/>
          <w:numId w:val="7"/>
        </w:numPr>
        <w:shd w:val="clear" w:color="auto" w:fill="FFFFFF"/>
        <w:tabs>
          <w:tab w:val="clear" w:pos="708"/>
          <w:tab w:val="left" w:pos="0" w:leader="none"/>
          <w:tab w:val="left" w:pos="709" w:leader="none"/>
        </w:tabs>
        <w:ind w:left="0" w:firstLine="709"/>
        <w:jc w:val="both"/>
        <w:rPr>
          <w:sz w:val="24"/>
          <w:szCs w:val="24"/>
        </w:rPr>
      </w:pPr>
      <w:r>
        <w:rPr>
          <w:sz w:val="24"/>
          <w:szCs w:val="24"/>
        </w:rPr>
        <w:t xml:space="preserve">Поставщик фактически находится по адресу, указанному в Едином государственном реестре юридических лиц; </w:t>
      </w:r>
    </w:p>
    <w:p>
      <w:pPr>
        <w:pStyle w:val="ListParagraph"/>
        <w:widowControl/>
        <w:numPr>
          <w:ilvl w:val="0"/>
          <w:numId w:val="7"/>
        </w:numPr>
        <w:shd w:val="clear" w:color="auto" w:fill="FFFFFF"/>
        <w:tabs>
          <w:tab w:val="clear" w:pos="708"/>
          <w:tab w:val="left" w:pos="0" w:leader="none"/>
          <w:tab w:val="left" w:pos="709" w:leader="none"/>
        </w:tabs>
        <w:ind w:left="0" w:firstLine="709"/>
        <w:jc w:val="both"/>
        <w:rPr>
          <w:sz w:val="24"/>
          <w:szCs w:val="24"/>
        </w:rPr>
      </w:pPr>
      <w:r>
        <w:rPr>
          <w:sz w:val="24"/>
          <w:szCs w:val="24"/>
        </w:rPr>
        <w:t xml:space="preserve">Поставщик своевременно и в полном объеме уплачивает налоги и сборы </w:t>
        <w:br/>
        <w:t>в соответствии с законодательством Российской Федерации;</w:t>
      </w:r>
    </w:p>
    <w:p>
      <w:pPr>
        <w:pStyle w:val="ListParagraph"/>
        <w:widowControl/>
        <w:numPr>
          <w:ilvl w:val="0"/>
          <w:numId w:val="6"/>
        </w:numPr>
        <w:shd w:val="clear" w:color="auto" w:fill="FFFFFF"/>
        <w:tabs>
          <w:tab w:val="clear" w:pos="708"/>
          <w:tab w:val="left" w:pos="0" w:leader="none"/>
          <w:tab w:val="left" w:pos="567" w:leader="none"/>
        </w:tabs>
        <w:ind w:left="0" w:firstLine="709"/>
        <w:jc w:val="both"/>
        <w:rPr>
          <w:sz w:val="24"/>
          <w:szCs w:val="24"/>
        </w:rPr>
      </w:pPr>
      <w:r>
        <w:rPr>
          <w:sz w:val="24"/>
          <w:szCs w:val="24"/>
        </w:rPr>
        <w:t xml:space="preserve">Поставщик не находится в процедуре несостоятельности (банкротства) </w:t>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Договора или в связи с ним;</w:t>
      </w:r>
    </w:p>
    <w:p>
      <w:pPr>
        <w:pStyle w:val="ListParagraph"/>
        <w:widowControl/>
        <w:numPr>
          <w:ilvl w:val="0"/>
          <w:numId w:val="6"/>
        </w:numPr>
        <w:shd w:val="clear" w:color="auto" w:fill="FFFFFF"/>
        <w:tabs>
          <w:tab w:val="clear" w:pos="708"/>
          <w:tab w:val="left" w:pos="0" w:leader="none"/>
          <w:tab w:val="left" w:pos="567" w:leader="none"/>
        </w:tabs>
        <w:ind w:left="0" w:firstLine="709"/>
        <w:jc w:val="both"/>
        <w:rPr>
          <w:sz w:val="24"/>
          <w:szCs w:val="24"/>
        </w:rPr>
      </w:pPr>
      <w:r>
        <w:rPr>
          <w:sz w:val="24"/>
          <w:szCs w:val="24"/>
        </w:rPr>
        <w:t xml:space="preserve">Поставщик тщательно изучил всю информацию, связанную с Договором, </w:t>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pPr>
        <w:pStyle w:val="ListParagraph"/>
        <w:widowControl/>
        <w:numPr>
          <w:ilvl w:val="0"/>
          <w:numId w:val="6"/>
        </w:numPr>
        <w:shd w:val="clear" w:color="auto" w:fill="FFFFFF"/>
        <w:tabs>
          <w:tab w:val="clear" w:pos="708"/>
          <w:tab w:val="left" w:pos="0" w:leader="none"/>
          <w:tab w:val="left" w:pos="567" w:leader="none"/>
        </w:tabs>
        <w:ind w:left="0" w:firstLine="709"/>
        <w:jc w:val="both"/>
        <w:rPr>
          <w:sz w:val="24"/>
          <w:szCs w:val="24"/>
        </w:rPr>
      </w:pPr>
      <w:r>
        <w:rPr>
          <w:sz w:val="24"/>
          <w:szCs w:val="24"/>
        </w:rPr>
        <w:t xml:space="preserve">Поставщик своевременно и в полном объеме в соответствии </w:t>
        <w:br/>
        <w:t>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widowControl/>
        <w:numPr>
          <w:ilvl w:val="0"/>
          <w:numId w:val="6"/>
        </w:numPr>
        <w:shd w:val="clear" w:color="auto" w:fill="FFFFFF"/>
        <w:tabs>
          <w:tab w:val="clear" w:pos="708"/>
          <w:tab w:val="left" w:pos="0" w:leader="none"/>
          <w:tab w:val="left" w:pos="567" w:leader="none"/>
        </w:tabs>
        <w:ind w:left="0" w:firstLine="709"/>
        <w:jc w:val="both"/>
        <w:rPr>
          <w:sz w:val="24"/>
          <w:szCs w:val="24"/>
        </w:rPr>
      </w:pPr>
      <w:r>
        <w:rPr>
          <w:sz w:val="24"/>
          <w:szCs w:val="24"/>
        </w:rPr>
        <w:t xml:space="preserve">вся информация, предоставленная Покупателю, является достоверной, полной </w:t>
        <w:br/>
        <w:t xml:space="preserve">и точной, и Поставщик не скрыл никаких обстоятельств, которые при их обнаружении могли </w:t>
        <w:br/>
        <w:t>бы негативно повлиять на решение Покупателя заключить Договор на указанных в нем условиях.</w:t>
      </w:r>
    </w:p>
    <w:p>
      <w:pPr>
        <w:pStyle w:val="Normal"/>
        <w:widowControl/>
        <w:numPr>
          <w:ilvl w:val="1"/>
          <w:numId w:val="2"/>
        </w:numPr>
        <w:tabs>
          <w:tab w:val="clear" w:pos="708"/>
          <w:tab w:val="left" w:pos="0" w:leader="none"/>
          <w:tab w:val="left" w:pos="1418" w:leader="none"/>
        </w:tabs>
        <w:ind w:left="0" w:firstLine="709"/>
        <w:jc w:val="both"/>
        <w:rPr>
          <w:sz w:val="24"/>
          <w:szCs w:val="24"/>
        </w:rPr>
      </w:pPr>
      <w:r>
        <w:rPr>
          <w:sz w:val="24"/>
          <w:szCs w:val="24"/>
        </w:rPr>
        <w:t xml:space="preserve">При заключении и исполнении Договора каждая Сторона полагается </w:t>
        <w:br/>
        <w:t xml:space="preserve">на достоверность, точность и полноту заверений другой Стороны, изложенных в настоящем разделе Договора.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В случае, если </w:t>
      </w:r>
      <w:r>
        <w:rPr>
          <w:bCs/>
          <w:sz w:val="24"/>
          <w:szCs w:val="24"/>
        </w:rPr>
        <w:t xml:space="preserve">Поставщик </w:t>
      </w:r>
      <w:r>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Pr>
          <w:bCs/>
          <w:sz w:val="24"/>
          <w:szCs w:val="24"/>
        </w:rPr>
        <w:t xml:space="preserve">Поставщик </w:t>
      </w:r>
      <w:r>
        <w:rPr>
          <w:sz w:val="24"/>
          <w:szCs w:val="24"/>
        </w:rPr>
        <w:t xml:space="preserve">обязан </w:t>
        <w:br/>
        <w:t>по письменному требованию Покупателя уплатить последнему штраф в размере 5 (пяти) процентов от Цены Договора, указанной в пункте 2.1 Договора.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widowControl/>
        <w:shd w:val="clear" w:color="auto" w:fill="FFFFFF"/>
        <w:tabs>
          <w:tab w:val="clear" w:pos="708"/>
          <w:tab w:val="left" w:pos="1134" w:leader="none"/>
          <w:tab w:val="left" w:pos="1418" w:leader="none"/>
        </w:tabs>
        <w:ind w:left="709" w:hanging="0"/>
        <w:jc w:val="both"/>
        <w:rPr>
          <w:sz w:val="24"/>
          <w:szCs w:val="24"/>
        </w:rPr>
      </w:pPr>
      <w:r>
        <w:rPr>
          <w:sz w:val="24"/>
          <w:szCs w:val="24"/>
        </w:rPr>
      </w:r>
    </w:p>
    <w:p>
      <w:pPr>
        <w:pStyle w:val="ListParagraph"/>
        <w:widowControl/>
        <w:numPr>
          <w:ilvl w:val="0"/>
          <w:numId w:val="2"/>
        </w:numPr>
        <w:shd w:val="clear" w:color="auto" w:fill="FFFFFF"/>
        <w:tabs>
          <w:tab w:val="clear" w:pos="708"/>
          <w:tab w:val="left" w:pos="426" w:leader="none"/>
        </w:tabs>
        <w:ind w:left="0" w:hanging="0"/>
        <w:jc w:val="center"/>
        <w:rPr>
          <w:b/>
          <w:sz w:val="24"/>
          <w:szCs w:val="24"/>
        </w:rPr>
      </w:pPr>
      <w:r>
        <w:rPr>
          <w:b/>
          <w:bCs/>
          <w:sz w:val="24"/>
          <w:szCs w:val="24"/>
        </w:rPr>
        <w:t>П</w:t>
      </w:r>
      <w:r>
        <w:rPr>
          <w:b/>
          <w:sz w:val="24"/>
          <w:szCs w:val="24"/>
        </w:rPr>
        <w:t>рекращение (расторжение) Договора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13.7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В случае существенного нарушения Договора Поставщиком Покупатель вправе </w:t>
        <w:br/>
        <w:t>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pPr>
        <w:pStyle w:val="ListParagraph"/>
        <w:shd w:val="clear" w:color="auto" w:fill="FFFFFF"/>
        <w:tabs>
          <w:tab w:val="clear" w:pos="708"/>
          <w:tab w:val="left" w:pos="0" w:leader="none"/>
          <w:tab w:val="left" w:pos="1418" w:leader="none"/>
        </w:tabs>
        <w:ind w:left="0" w:firstLine="709"/>
        <w:jc w:val="both"/>
        <w:rPr>
          <w:sz w:val="24"/>
          <w:szCs w:val="24"/>
        </w:rPr>
      </w:pPr>
      <w:r>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Стороны установили, что существенным нарушением Договора Поставщиком является:</w:t>
      </w:r>
    </w:p>
    <w:p>
      <w:pPr>
        <w:pStyle w:val="ListParagraph"/>
        <w:widowControl/>
        <w:numPr>
          <w:ilvl w:val="0"/>
          <w:numId w:val="4"/>
        </w:numPr>
        <w:tabs>
          <w:tab w:val="clear" w:pos="708"/>
          <w:tab w:val="left" w:pos="0" w:leader="none"/>
          <w:tab w:val="left" w:pos="1418" w:leader="none"/>
        </w:tabs>
        <w:ind w:left="0" w:right="23" w:firstLine="709"/>
        <w:jc w:val="both"/>
        <w:rPr>
          <w:sz w:val="24"/>
          <w:szCs w:val="24"/>
        </w:rPr>
      </w:pPr>
      <w:r>
        <w:rPr>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pPr>
        <w:pStyle w:val="ListParagraph"/>
        <w:widowControl/>
        <w:numPr>
          <w:ilvl w:val="0"/>
          <w:numId w:val="4"/>
        </w:numPr>
        <w:tabs>
          <w:tab w:val="clear" w:pos="708"/>
          <w:tab w:val="left" w:pos="0" w:leader="none"/>
          <w:tab w:val="left" w:pos="1418" w:leader="none"/>
        </w:tabs>
        <w:ind w:left="0" w:right="23" w:firstLine="709"/>
        <w:jc w:val="both"/>
        <w:rPr>
          <w:sz w:val="24"/>
          <w:szCs w:val="24"/>
        </w:rPr>
      </w:pPr>
      <w:r>
        <w:rPr>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pPr>
        <w:pStyle w:val="ListParagraph"/>
        <w:widowControl/>
        <w:numPr>
          <w:ilvl w:val="0"/>
          <w:numId w:val="4"/>
        </w:numPr>
        <w:tabs>
          <w:tab w:val="clear" w:pos="708"/>
          <w:tab w:val="left" w:pos="0" w:leader="none"/>
          <w:tab w:val="left" w:pos="1418" w:leader="none"/>
        </w:tabs>
        <w:ind w:left="0" w:right="23" w:firstLine="709"/>
        <w:jc w:val="both"/>
        <w:rPr>
          <w:sz w:val="24"/>
          <w:szCs w:val="24"/>
        </w:rPr>
      </w:pPr>
      <w:r>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pPr>
        <w:pStyle w:val="ListParagraph"/>
        <w:widowControl/>
        <w:numPr>
          <w:ilvl w:val="0"/>
          <w:numId w:val="4"/>
        </w:numPr>
        <w:tabs>
          <w:tab w:val="clear" w:pos="708"/>
          <w:tab w:val="left" w:pos="0" w:leader="none"/>
          <w:tab w:val="left" w:pos="1418" w:leader="none"/>
        </w:tabs>
        <w:ind w:left="0" w:right="23" w:firstLine="709"/>
        <w:jc w:val="both"/>
        <w:rPr>
          <w:sz w:val="24"/>
          <w:szCs w:val="24"/>
        </w:rPr>
      </w:pPr>
      <w:r>
        <w:rPr>
          <w:sz w:val="24"/>
          <w:szCs w:val="24"/>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Покупателю таких документов;</w:t>
      </w:r>
    </w:p>
    <w:p>
      <w:pPr>
        <w:pStyle w:val="ListParagraph"/>
        <w:widowControl/>
        <w:numPr>
          <w:ilvl w:val="0"/>
          <w:numId w:val="4"/>
        </w:numPr>
        <w:tabs>
          <w:tab w:val="clear" w:pos="708"/>
          <w:tab w:val="left" w:pos="0" w:leader="none"/>
          <w:tab w:val="left" w:pos="1418" w:leader="none"/>
        </w:tabs>
        <w:ind w:left="0" w:right="23" w:firstLine="709"/>
        <w:jc w:val="both"/>
        <w:rPr>
          <w:sz w:val="24"/>
          <w:szCs w:val="24"/>
        </w:rPr>
      </w:pPr>
      <w:r>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br/>
        <w:t>об обстоятельствах, указанных в разделе 11 Договора, и имеющих существенное значение для его заключения и исполнения.</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В случае отказа Покупателя от Договора в случаях, предусмотренных пунктами 12.2, 12.3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С даты прекращения (расторжения) Договора Поставщик обязан прекратить поставку Товара.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При прекращении (расторжении) Договора по основаниям, указанным </w:t>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pPr>
        <w:pStyle w:val="ListParagraph"/>
        <w:widowControl/>
        <w:shd w:val="clear" w:color="auto" w:fill="FFFFFF"/>
        <w:tabs>
          <w:tab w:val="clear" w:pos="708"/>
          <w:tab w:val="left" w:pos="0" w:leader="none"/>
        </w:tabs>
        <w:ind w:left="709" w:hanging="0"/>
        <w:jc w:val="both"/>
        <w:rPr>
          <w:bCs/>
          <w:sz w:val="24"/>
          <w:szCs w:val="24"/>
        </w:rPr>
      </w:pPr>
      <w:r>
        <w:rPr>
          <w:bCs/>
          <w:sz w:val="24"/>
          <w:szCs w:val="24"/>
        </w:rPr>
      </w:r>
    </w:p>
    <w:p>
      <w:pPr>
        <w:pStyle w:val="ListParagraph"/>
        <w:widowControl/>
        <w:numPr>
          <w:ilvl w:val="0"/>
          <w:numId w:val="2"/>
        </w:numPr>
        <w:shd w:val="clear" w:color="auto" w:fill="FFFFFF"/>
        <w:tabs>
          <w:tab w:val="clear" w:pos="708"/>
          <w:tab w:val="left" w:pos="426" w:leader="none"/>
        </w:tabs>
        <w:ind w:left="0" w:hanging="0"/>
        <w:jc w:val="center"/>
        <w:rPr>
          <w:b/>
          <w:bCs/>
          <w:sz w:val="24"/>
          <w:szCs w:val="24"/>
        </w:rPr>
      </w:pPr>
      <w:r>
        <w:rPr>
          <w:b/>
          <w:bCs/>
          <w:sz w:val="24"/>
          <w:szCs w:val="24"/>
        </w:rPr>
        <w:t>Заключительные положения</w:t>
      </w:r>
    </w:p>
    <w:p>
      <w:pPr>
        <w:pStyle w:val="ListParagraph"/>
        <w:widowControl/>
        <w:numPr>
          <w:ilvl w:val="1"/>
          <w:numId w:val="2"/>
        </w:numPr>
        <w:shd w:val="clear" w:color="auto" w:fill="FFFFFF"/>
        <w:tabs>
          <w:tab w:val="clear" w:pos="708"/>
          <w:tab w:val="left" w:pos="142" w:leader="none"/>
          <w:tab w:val="left" w:pos="1418" w:leader="none"/>
        </w:tabs>
        <w:ind w:left="0" w:firstLine="709"/>
        <w:jc w:val="both"/>
        <w:rPr>
          <w:sz w:val="24"/>
          <w:szCs w:val="24"/>
        </w:rPr>
      </w:pPr>
      <w:r>
        <w:rPr>
          <w:sz w:val="24"/>
          <w:szCs w:val="24"/>
        </w:rPr>
        <w:t xml:space="preserve">Договор вступает в силу с даты его подписания Сторонами и действует </w:t>
        <w:br/>
        <w:t xml:space="preserve">до полного исполнения ими принятых на себя обязательств. </w:t>
      </w:r>
      <w:r>
        <w:rPr>
          <w:sz w:val="24"/>
          <w:szCs w:val="24"/>
          <w:highlight w:val="lightGray"/>
        </w:rPr>
        <w:t xml:space="preserve">В соответствии с пунктом 2 статьи 425 ГК РФ, условия Договора применяются к отношениям Сторон, возникшим </w:t>
        <w:br/>
        <w:t xml:space="preserve">с </w:t>
      </w:r>
      <w:r>
        <w:rPr>
          <w:sz w:val="24"/>
          <w:szCs w:val="24"/>
        </w:rPr>
        <w:t>даты подписания Договора.</w:t>
      </w:r>
    </w:p>
    <w:p>
      <w:pPr>
        <w:pStyle w:val="Normal"/>
        <w:widowControl/>
        <w:numPr>
          <w:ilvl w:val="1"/>
          <w:numId w:val="2"/>
        </w:numPr>
        <w:tabs>
          <w:tab w:val="clear" w:pos="708"/>
          <w:tab w:val="left" w:pos="142" w:leader="none"/>
          <w:tab w:val="left" w:pos="709" w:leader="none"/>
        </w:tabs>
        <w:snapToGrid w:val="false"/>
        <w:ind w:left="0" w:firstLine="709"/>
        <w:jc w:val="both"/>
        <w:rPr>
          <w:sz w:val="24"/>
          <w:szCs w:val="24"/>
          <w:highlight w:val="lightGray"/>
          <w:lang w:eastAsia="en-US"/>
        </w:rPr>
      </w:pPr>
      <w:r>
        <w:rPr>
          <w:sz w:val="24"/>
          <w:szCs w:val="24"/>
          <w:highlight w:val="lightGray"/>
          <w:lang w:eastAsia="en-US"/>
        </w:rPr>
        <w:t xml:space="preserve">Договор заключается в электронной форме с использованием программно-аппаратных средств электронной площадки путем его подписания усиленными квалифицированными электронными подписями (далее – УКЭП) уполномоченных представителей Сторон. </w:t>
      </w:r>
    </w:p>
    <w:p>
      <w:pPr>
        <w:pStyle w:val="Normal"/>
        <w:tabs>
          <w:tab w:val="clear" w:pos="708"/>
          <w:tab w:val="left" w:pos="142" w:leader="none"/>
        </w:tabs>
        <w:ind w:firstLine="709"/>
        <w:jc w:val="both"/>
        <w:rPr>
          <w:sz w:val="24"/>
          <w:szCs w:val="24"/>
          <w:highlight w:val="lightGray"/>
          <w:lang w:eastAsia="en-US"/>
        </w:rPr>
      </w:pPr>
      <w:r>
        <w:rPr>
          <w:sz w:val="24"/>
          <w:szCs w:val="24"/>
          <w:highlight w:val="lightGray"/>
          <w:lang w:eastAsia="en-US"/>
        </w:rPr>
        <w:t xml:space="preserve">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w:t>
      </w:r>
      <w:r>
        <w:rPr>
          <w:sz w:val="24"/>
          <w:szCs w:val="24"/>
          <w:highlight w:val="lightGray"/>
        </w:rPr>
        <w:t>13.7</w:t>
      </w:r>
      <w:r>
        <w:rPr>
          <w:sz w:val="24"/>
          <w:szCs w:val="24"/>
        </w:rPr>
        <w:t xml:space="preserve"> Договора.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В случае наличия любых расхождений между содержанием Договора </w:t>
        <w:br/>
        <w:t>и приложений к нему, приоритет имеет текст Договора.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Обмен информацией между Сторонами по любым вопросам, связанным </w:t>
        <w:br/>
        <w:t xml:space="preserve">с исполнением Договора, включая уведомления и иные сообщения, осуществляется только </w:t>
        <w:br/>
        <w:t xml:space="preserve">в письменной форме в порядке, предусмотренном пунктом </w:t>
      </w:r>
      <w:r>
        <w:rPr>
          <w:sz w:val="24"/>
          <w:szCs w:val="24"/>
          <w:highlight w:val="lightGray"/>
        </w:rPr>
        <w:t>13.8</w:t>
      </w:r>
      <w:r>
        <w:rPr>
          <w:sz w:val="24"/>
          <w:szCs w:val="24"/>
        </w:rPr>
        <w:t xml:space="preserve">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bookmarkStart w:id="8" w:name="_Ref361338004"/>
      <w:r>
        <w:rPr>
          <w:sz w:val="24"/>
          <w:szCs w:val="24"/>
        </w:rPr>
        <w:t xml:space="preserve">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w:t>
      </w:r>
      <w:r>
        <w:rPr>
          <w:sz w:val="24"/>
          <w:szCs w:val="24"/>
          <w:highlight w:val="lightGray"/>
        </w:rPr>
        <w:t>13.8</w:t>
      </w:r>
      <w:r>
        <w:rPr>
          <w:sz w:val="24"/>
          <w:szCs w:val="24"/>
        </w:rPr>
        <w:t xml:space="preserve"> Договора.</w:t>
      </w:r>
      <w:bookmarkEnd w:id="8"/>
      <w:r>
        <w:rPr>
          <w:sz w:val="24"/>
          <w:szCs w:val="24"/>
        </w:rPr>
        <w:t xml:space="preserve"> </w:t>
      </w:r>
    </w:p>
    <w:p>
      <w:pPr>
        <w:pStyle w:val="ListParagraph"/>
        <w:widowControl/>
        <w:numPr>
          <w:ilvl w:val="1"/>
          <w:numId w:val="2"/>
        </w:numPr>
        <w:shd w:val="clear" w:color="auto" w:fill="FFFFFF"/>
        <w:tabs>
          <w:tab w:val="clear" w:pos="708"/>
          <w:tab w:val="left" w:pos="0" w:leader="none"/>
          <w:tab w:val="left" w:pos="1134" w:leader="none"/>
          <w:tab w:val="left" w:pos="1418" w:leader="none"/>
        </w:tabs>
        <w:ind w:left="0" w:firstLine="709"/>
        <w:jc w:val="both"/>
        <w:rPr>
          <w:bCs/>
          <w:sz w:val="24"/>
          <w:szCs w:val="24"/>
        </w:rPr>
      </w:pPr>
      <w:r>
        <w:rPr>
          <w:sz w:val="24"/>
          <w:szCs w:val="24"/>
        </w:rPr>
        <w:t>Письма, уведомления и / или сообщения направляются Стороне</w:t>
      </w:r>
      <w:r>
        <w:rPr>
          <w:bCs/>
          <w:sz w:val="24"/>
          <w:szCs w:val="24"/>
        </w:rPr>
        <w:t>-</w:t>
      </w:r>
      <w:r>
        <w:rPr>
          <w:sz w:val="24"/>
          <w:szCs w:val="24"/>
        </w:rPr>
        <w:t>получателю 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w:t>
      </w:r>
      <w:r>
        <w:rPr>
          <w:bCs/>
          <w:sz w:val="24"/>
          <w:szCs w:val="24"/>
        </w:rPr>
        <w:t xml:space="preserve"> будет считаться полученным</w:t>
      </w:r>
      <w:r>
        <w:rPr>
          <w:sz w:val="24"/>
          <w:szCs w:val="24"/>
        </w:rPr>
        <w:t xml:space="preserve">: </w:t>
      </w:r>
    </w:p>
    <w:p>
      <w:pPr>
        <w:pStyle w:val="ListParagraph"/>
        <w:numPr>
          <w:ilvl w:val="2"/>
          <w:numId w:val="2"/>
        </w:numPr>
        <w:ind w:left="0" w:firstLine="709"/>
        <w:jc w:val="both"/>
        <w:rPr>
          <w:sz w:val="24"/>
          <w:szCs w:val="24"/>
        </w:rPr>
      </w:pPr>
      <w:r>
        <w:rPr>
          <w:bCs/>
          <w:sz w:val="24"/>
          <w:szCs w:val="24"/>
        </w:rPr>
        <w:t xml:space="preserve">Заказным почтовым отправлением с уведомлением о вручении – </w:t>
      </w:r>
      <w:r>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numPr>
          <w:ilvl w:val="2"/>
          <w:numId w:val="2"/>
        </w:numPr>
        <w:ind w:left="0" w:firstLine="709"/>
        <w:jc w:val="both"/>
        <w:rPr>
          <w:sz w:val="24"/>
          <w:szCs w:val="24"/>
        </w:rPr>
      </w:pPr>
      <w:r>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Pr>
          <w:sz w:val="24"/>
          <w:szCs w:val="24"/>
        </w:rPr>
        <w:t xml:space="preserve">; </w:t>
      </w:r>
    </w:p>
    <w:p>
      <w:pPr>
        <w:pStyle w:val="ListParagraph"/>
        <w:numPr>
          <w:ilvl w:val="2"/>
          <w:numId w:val="2"/>
        </w:numPr>
        <w:ind w:left="0" w:firstLine="709"/>
        <w:jc w:val="both"/>
        <w:rPr>
          <w:bCs/>
          <w:sz w:val="24"/>
          <w:szCs w:val="24"/>
        </w:rPr>
      </w:pPr>
      <w:r>
        <w:rPr>
          <w:bCs/>
          <w:sz w:val="24"/>
          <w:szCs w:val="24"/>
        </w:rPr>
        <w:t>Посредством электронной почты (</w:t>
      </w:r>
      <w:r>
        <w:rPr>
          <w:bCs/>
          <w:sz w:val="24"/>
          <w:szCs w:val="24"/>
          <w:lang w:val="en-US"/>
        </w:rPr>
        <w:t>e</w:t>
      </w:r>
      <w:r>
        <w:rPr>
          <w:bCs/>
          <w:sz w:val="24"/>
          <w:szCs w:val="24"/>
        </w:rPr>
        <w:t>-</w:t>
      </w:r>
      <w:r>
        <w:rPr>
          <w:bCs/>
          <w:sz w:val="24"/>
          <w:szCs w:val="24"/>
          <w:lang w:val="en-US"/>
        </w:rPr>
        <w:t>mail</w:t>
      </w:r>
      <w:r>
        <w:rPr>
          <w:bCs/>
          <w:sz w:val="24"/>
          <w:szCs w:val="24"/>
        </w:rPr>
        <w:t>) – в дату направления электронного сообщения, зафиксированную на почтовом сервере отправителя.</w:t>
      </w:r>
    </w:p>
    <w:p>
      <w:pPr>
        <w:pStyle w:val="ListParagraph"/>
        <w:shd w:val="clear" w:color="auto" w:fill="FFFFFF"/>
        <w:tabs>
          <w:tab w:val="clear" w:pos="708"/>
          <w:tab w:val="left" w:pos="0" w:leader="none"/>
          <w:tab w:val="left" w:pos="1418" w:leader="none"/>
          <w:tab w:val="left" w:pos="1701" w:leader="none"/>
        </w:tabs>
        <w:ind w:left="0" w:firstLine="709"/>
        <w:jc w:val="both"/>
        <w:rPr>
          <w:bCs/>
          <w:sz w:val="24"/>
          <w:szCs w:val="24"/>
        </w:rPr>
      </w:pPr>
      <w:r>
        <w:rPr>
          <w:bCs/>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r>
        <w:rPr>
          <w:bCs/>
          <w:sz w:val="24"/>
          <w:szCs w:val="24"/>
          <w:highlight w:val="lightGray"/>
        </w:rPr>
        <w:t>13.8.1 – 13.8.2</w:t>
      </w:r>
      <w:r>
        <w:rPr>
          <w:bCs/>
          <w:sz w:val="24"/>
          <w:szCs w:val="24"/>
        </w:rPr>
        <w:t xml:space="preserve"> Договора. </w:t>
      </w:r>
    </w:p>
    <w:p>
      <w:pPr>
        <w:pStyle w:val="Normal"/>
        <w:widowControl/>
        <w:numPr>
          <w:ilvl w:val="1"/>
          <w:numId w:val="2"/>
        </w:numPr>
        <w:tabs>
          <w:tab w:val="clear" w:pos="708"/>
          <w:tab w:val="left" w:pos="0" w:leader="none"/>
          <w:tab w:val="left" w:pos="1418" w:leader="none"/>
        </w:tabs>
        <w:ind w:left="0" w:firstLine="709"/>
        <w:jc w:val="both"/>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sz w:val="24"/>
          <w:szCs w:val="24"/>
        </w:rPr>
        <w:t xml:space="preserve">Уступка (передача), в том числе в залог, прав (требований) к Покупателю </w:t>
        <w:br/>
        <w:t xml:space="preserve">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трехсторонним договором. </w:t>
      </w:r>
    </w:p>
    <w:p>
      <w:pPr>
        <w:pStyle w:val="ListParagraph"/>
        <w:widowControl/>
        <w:shd w:val="clear" w:color="auto" w:fill="FFFFFF"/>
        <w:tabs>
          <w:tab w:val="clear" w:pos="708"/>
          <w:tab w:val="left" w:pos="0" w:leader="none"/>
          <w:tab w:val="left" w:pos="1418" w:leader="none"/>
        </w:tabs>
        <w:ind w:left="0" w:firstLine="709"/>
        <w:jc w:val="both"/>
        <w:rPr>
          <w:bCs/>
          <w:sz w:val="24"/>
          <w:szCs w:val="24"/>
        </w:rPr>
      </w:pPr>
      <w:r>
        <w:rPr>
          <w:sz w:val="24"/>
          <w:szCs w:val="24"/>
        </w:rPr>
        <w:t>Уступка (передача) прав (требований) в пользу финансово-кредитных учреждений (факторинг) осуществляется при условии предварительного письменного уведомления Покупателя</w:t>
      </w:r>
      <w:r>
        <w:rPr>
          <w:bCs/>
          <w:sz w:val="24"/>
          <w:szCs w:val="24"/>
        </w:rPr>
        <w:t>.</w:t>
      </w:r>
      <w:r>
        <w:rPr>
          <w:sz w:val="24"/>
          <w:szCs w:val="24"/>
        </w:rPr>
        <w:t xml:space="preserve">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Во всем остальном, что не урегулировано Договором, Стороны руководствуются законодательством Российской Федерации. </w:t>
      </w:r>
    </w:p>
    <w:p>
      <w:pPr>
        <w:pStyle w:val="Normal"/>
        <w:shd w:val="clear" w:color="auto" w:fill="FFFFFF"/>
        <w:ind w:firstLine="567"/>
        <w:jc w:val="both"/>
        <w:rPr>
          <w:sz w:val="24"/>
          <w:szCs w:val="24"/>
        </w:rPr>
      </w:pPr>
      <w:r>
        <w:rPr>
          <w:sz w:val="24"/>
          <w:szCs w:val="24"/>
        </w:rPr>
      </w:r>
    </w:p>
    <w:p>
      <w:pPr>
        <w:pStyle w:val="Normal"/>
        <w:widowControl/>
        <w:numPr>
          <w:ilvl w:val="0"/>
          <w:numId w:val="2"/>
        </w:numPr>
        <w:shd w:val="clear" w:color="auto" w:fill="FFFFFF"/>
        <w:tabs>
          <w:tab w:val="clear" w:pos="708"/>
          <w:tab w:val="left" w:pos="284" w:leader="none"/>
        </w:tabs>
        <w:spacing w:lineRule="auto" w:line="259" w:before="0" w:after="0"/>
        <w:contextualSpacing/>
        <w:jc w:val="center"/>
        <w:rPr>
          <w:b/>
          <w:bCs/>
          <w:sz w:val="24"/>
          <w:szCs w:val="24"/>
        </w:rPr>
      </w:pPr>
      <w:r>
        <w:rPr>
          <w:b/>
          <w:bCs/>
          <w:sz w:val="24"/>
          <w:szCs w:val="24"/>
        </w:rPr>
        <w:t xml:space="preserve">Список приложений </w:t>
      </w:r>
    </w:p>
    <w:p>
      <w:pPr>
        <w:pStyle w:val="Normal"/>
        <w:widowControl/>
        <w:shd w:val="clear" w:color="auto" w:fill="FFFFFF"/>
        <w:tabs>
          <w:tab w:val="clear" w:pos="708"/>
          <w:tab w:val="left" w:pos="0" w:leader="none"/>
        </w:tabs>
        <w:ind w:firstLine="709"/>
        <w:jc w:val="both"/>
        <w:rPr>
          <w:rFonts w:eastAsia="Calibri"/>
          <w:sz w:val="24"/>
          <w:szCs w:val="24"/>
          <w:lang w:eastAsia="en-US"/>
        </w:rPr>
      </w:pPr>
      <w:bookmarkStart w:id="9" w:name="sub_1"/>
      <w:bookmarkEnd w:id="9"/>
      <w:r>
        <w:rPr>
          <w:rFonts w:eastAsia="Calibri"/>
          <w:sz w:val="24"/>
          <w:szCs w:val="24"/>
          <w:lang w:eastAsia="en-US"/>
        </w:rPr>
        <w:t>Приложение № 1 – Спецификация.</w:t>
      </w:r>
    </w:p>
    <w:p>
      <w:pPr>
        <w:pStyle w:val="Normal"/>
        <w:widowControl/>
        <w:shd w:val="clear" w:color="auto" w:fill="FFFFFF"/>
        <w:tabs>
          <w:tab w:val="clear" w:pos="708"/>
          <w:tab w:val="left" w:pos="0" w:leader="none"/>
        </w:tabs>
        <w:ind w:firstLine="709"/>
        <w:jc w:val="both"/>
        <w:rPr>
          <w:rFonts w:eastAsia="Calibri"/>
          <w:sz w:val="24"/>
          <w:szCs w:val="24"/>
          <w:lang w:eastAsia="en-US"/>
        </w:rPr>
      </w:pPr>
      <w:r>
        <w:rPr>
          <w:rFonts w:eastAsia="Calibri"/>
          <w:sz w:val="24"/>
          <w:szCs w:val="24"/>
          <w:lang w:eastAsia="en-US"/>
        </w:rPr>
        <w:t>Приложение № 2 - Технические требования.</w:t>
      </w:r>
    </w:p>
    <w:p>
      <w:pPr>
        <w:pStyle w:val="Normal"/>
        <w:widowControl/>
        <w:shd w:val="clear" w:color="auto" w:fill="FFFFFF"/>
        <w:tabs>
          <w:tab w:val="clear" w:pos="708"/>
          <w:tab w:val="left" w:pos="0" w:leader="none"/>
        </w:tabs>
        <w:ind w:firstLine="709"/>
        <w:jc w:val="both"/>
        <w:rPr>
          <w:rFonts w:eastAsia="Calibri"/>
          <w:sz w:val="24"/>
          <w:szCs w:val="24"/>
          <w:lang w:eastAsia="en-US"/>
        </w:rPr>
      </w:pPr>
      <w:r>
        <w:rPr>
          <w:rFonts w:eastAsia="Calibri"/>
          <w:sz w:val="24"/>
          <w:szCs w:val="24"/>
          <w:lang w:eastAsia="en-US"/>
        </w:rPr>
        <w:t>Приложение № 3 – Методика расчета упущенной выгоды (выручки) и дополнительных обязательств участника ОРЭМ от недопоставки электрической энергии и мощности на ОРЭМ в отдельной территории ценовой зоны оптового рынка, ранее относившейся к неценовой зоне оптового рынка Дальнего Востока.</w:t>
      </w:r>
    </w:p>
    <w:p>
      <w:pPr>
        <w:pStyle w:val="Normal"/>
        <w:widowControl/>
        <w:shd w:val="clear" w:color="auto" w:fill="FFFFFF"/>
        <w:tabs>
          <w:tab w:val="clear" w:pos="708"/>
          <w:tab w:val="left" w:pos="0" w:leader="none"/>
          <w:tab w:val="left" w:pos="2694" w:leader="none"/>
        </w:tabs>
        <w:ind w:firstLine="709"/>
        <w:jc w:val="both"/>
        <w:rPr>
          <w:rFonts w:eastAsia="Calibri"/>
          <w:sz w:val="24"/>
          <w:szCs w:val="24"/>
          <w:lang w:eastAsia="en-US"/>
        </w:rPr>
      </w:pPr>
      <w:r>
        <w:rPr>
          <w:rFonts w:eastAsia="Calibri"/>
          <w:sz w:val="24"/>
          <w:szCs w:val="24"/>
          <w:lang w:eastAsia="en-US"/>
        </w:rPr>
      </w:r>
    </w:p>
    <w:p>
      <w:pPr>
        <w:pStyle w:val="ListParagraph"/>
        <w:widowControl/>
        <w:numPr>
          <w:ilvl w:val="0"/>
          <w:numId w:val="2"/>
        </w:numPr>
        <w:shd w:val="clear" w:color="auto" w:fill="FFFFFF"/>
        <w:tabs>
          <w:tab w:val="clear" w:pos="708"/>
          <w:tab w:val="left" w:pos="426" w:leader="none"/>
        </w:tabs>
        <w:ind w:left="0" w:hanging="0"/>
        <w:jc w:val="center"/>
        <w:rPr>
          <w:b/>
          <w:bCs/>
          <w:sz w:val="24"/>
          <w:szCs w:val="24"/>
        </w:rPr>
      </w:pPr>
      <w:bookmarkStart w:id="10" w:name="sub_1_Копия_1"/>
      <w:bookmarkEnd w:id="10"/>
      <w:r>
        <w:rPr>
          <w:b/>
          <w:bCs/>
          <w:sz w:val="24"/>
          <w:szCs w:val="24"/>
        </w:rPr>
        <w:t>Адреса и платежные реквизиты Сторон</w:t>
      </w:r>
    </w:p>
    <w:p>
      <w:pPr>
        <w:pStyle w:val="ListParagraph"/>
        <w:widowControl/>
        <w:shd w:val="clear" w:color="auto" w:fill="FFFFFF"/>
        <w:tabs>
          <w:tab w:val="clear" w:pos="708"/>
          <w:tab w:val="left" w:pos="426" w:leader="none"/>
        </w:tabs>
        <w:ind w:left="360" w:hanging="0"/>
        <w:rPr>
          <w:b/>
          <w:bCs/>
          <w:sz w:val="24"/>
          <w:szCs w:val="24"/>
        </w:rPr>
      </w:pPr>
      <w:r>
        <w:rPr>
          <w:b/>
          <w:bCs/>
          <w:sz w:val="24"/>
          <w:szCs w:val="24"/>
        </w:rPr>
      </w:r>
    </w:p>
    <w:tbl>
      <w:tblPr>
        <w:tblW w:w="9890"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5100"/>
        <w:gridCol w:w="4789"/>
      </w:tblGrid>
      <w:tr>
        <w:trPr/>
        <w:tc>
          <w:tcPr>
            <w:tcW w:w="5100" w:type="dxa"/>
            <w:tcBorders>
              <w:top w:val="single" w:sz="4" w:space="0" w:color="000000"/>
              <w:left w:val="single" w:sz="4" w:space="0" w:color="000000"/>
              <w:bottom w:val="single" w:sz="6" w:space="0" w:color="000000"/>
              <w:right w:val="single" w:sz="6" w:space="0" w:color="000000"/>
            </w:tcBorders>
            <w:shd w:color="auto" w:fill="auto" w:val="clear"/>
          </w:tcPr>
          <w:p>
            <w:pPr>
              <w:pStyle w:val="Normal"/>
              <w:widowControl w:val="false"/>
              <w:rPr>
                <w:sz w:val="23"/>
                <w:szCs w:val="23"/>
              </w:rPr>
            </w:pPr>
            <w:r>
              <w:rPr>
                <w:sz w:val="23"/>
                <w:szCs w:val="23"/>
              </w:rPr>
              <w:t>ПОКУПАТЕЛЬ:</w:t>
            </w:r>
          </w:p>
        </w:tc>
        <w:tc>
          <w:tcPr>
            <w:tcW w:w="4789" w:type="dxa"/>
            <w:tcBorders>
              <w:top w:val="single" w:sz="4" w:space="0" w:color="000000"/>
              <w:left w:val="single" w:sz="6" w:space="0" w:color="000000"/>
              <w:bottom w:val="single" w:sz="6" w:space="0" w:color="000000"/>
              <w:right w:val="single" w:sz="4" w:space="0" w:color="000000"/>
            </w:tcBorders>
            <w:shd w:color="auto" w:fill="auto" w:val="clear"/>
          </w:tcPr>
          <w:p>
            <w:pPr>
              <w:pStyle w:val="Normal"/>
              <w:widowControl w:val="false"/>
              <w:rPr>
                <w:sz w:val="23"/>
                <w:szCs w:val="23"/>
              </w:rPr>
            </w:pPr>
            <w:r>
              <w:rPr>
                <w:sz w:val="23"/>
                <w:szCs w:val="23"/>
              </w:rPr>
              <w:t>ПОСТАВЩИК:</w:t>
            </w:r>
          </w:p>
        </w:tc>
      </w:tr>
      <w:tr>
        <w:trPr/>
        <w:tc>
          <w:tcPr>
            <w:tcW w:w="5100" w:type="dxa"/>
            <w:tcBorders>
              <w:top w:val="single" w:sz="6" w:space="0" w:color="000000"/>
              <w:left w:val="single" w:sz="4" w:space="0" w:color="000000"/>
              <w:bottom w:val="single" w:sz="6" w:space="0" w:color="000000"/>
              <w:right w:val="single" w:sz="6" w:space="0" w:color="000000"/>
            </w:tcBorders>
            <w:shd w:color="auto" w:fill="auto" w:val="clear"/>
          </w:tcPr>
          <w:p>
            <w:pPr>
              <w:pStyle w:val="Normal"/>
              <w:widowControl w:val="false"/>
              <w:rPr>
                <w:b/>
                <w:sz w:val="23"/>
                <w:szCs w:val="23"/>
              </w:rPr>
            </w:pPr>
            <w:r>
              <w:rPr>
                <w:b/>
                <w:sz w:val="23"/>
                <w:szCs w:val="23"/>
              </w:rPr>
              <w:t>Публичное акционерное общество</w:t>
            </w:r>
          </w:p>
          <w:p>
            <w:pPr>
              <w:pStyle w:val="Normal"/>
              <w:widowControl w:val="false"/>
              <w:rPr>
                <w:b/>
                <w:sz w:val="23"/>
                <w:szCs w:val="23"/>
              </w:rPr>
            </w:pPr>
            <w:r>
              <w:rPr>
                <w:b/>
                <w:sz w:val="23"/>
                <w:szCs w:val="23"/>
              </w:rPr>
              <w:t>«Федеральная гидрогенерирующая компания - РусГидро» (ПАО «РусГидро»)</w:t>
            </w:r>
          </w:p>
          <w:p>
            <w:pPr>
              <w:pStyle w:val="Normal"/>
              <w:widowControl w:val="false"/>
              <w:rPr>
                <w:sz w:val="23"/>
                <w:szCs w:val="23"/>
              </w:rPr>
            </w:pPr>
            <w:r>
              <w:rPr>
                <w:sz w:val="23"/>
                <w:szCs w:val="23"/>
              </w:rPr>
              <w:t>Место нахождения: г. Красноярск, ул. Перенсона, зд. 2а, пом. 1</w:t>
            </w:r>
          </w:p>
          <w:p>
            <w:pPr>
              <w:pStyle w:val="Normal"/>
              <w:widowControl w:val="false"/>
              <w:rPr>
                <w:sz w:val="23"/>
                <w:szCs w:val="23"/>
              </w:rPr>
            </w:pPr>
            <w:r>
              <w:rPr>
                <w:sz w:val="23"/>
                <w:szCs w:val="23"/>
              </w:rPr>
              <w:t>Почтовый адрес: 660049, Красноярск, улица Перенсона, 2А</w:t>
            </w:r>
          </w:p>
          <w:p>
            <w:pPr>
              <w:pStyle w:val="Normal"/>
              <w:widowControl w:val="false"/>
              <w:rPr>
                <w:sz w:val="23"/>
                <w:szCs w:val="23"/>
              </w:rPr>
            </w:pPr>
            <w:r>
              <w:rPr>
                <w:sz w:val="23"/>
                <w:szCs w:val="23"/>
              </w:rPr>
              <w:t>Грузополучатель/Плательщик</w:t>
            </w:r>
          </w:p>
          <w:p>
            <w:pPr>
              <w:pStyle w:val="Normal"/>
              <w:widowControl w:val="false"/>
              <w:rPr>
                <w:sz w:val="23"/>
                <w:szCs w:val="23"/>
              </w:rPr>
            </w:pPr>
            <w:r>
              <w:rPr>
                <w:sz w:val="23"/>
                <w:szCs w:val="23"/>
              </w:rPr>
              <w:t>Филиал ПАО «РусГидро» - «Жигулевская ГЭС»</w:t>
            </w:r>
          </w:p>
          <w:p>
            <w:pPr>
              <w:pStyle w:val="Normal"/>
              <w:widowControl w:val="false"/>
              <w:rPr>
                <w:sz w:val="23"/>
                <w:szCs w:val="23"/>
              </w:rPr>
            </w:pPr>
            <w:r>
              <w:rPr>
                <w:sz w:val="23"/>
                <w:szCs w:val="23"/>
              </w:rPr>
              <w:t xml:space="preserve">ОГРН 1042401810494, </w:t>
            </w:r>
          </w:p>
          <w:p>
            <w:pPr>
              <w:pStyle w:val="Normal"/>
              <w:widowControl w:val="false"/>
              <w:rPr>
                <w:sz w:val="23"/>
                <w:szCs w:val="23"/>
              </w:rPr>
            </w:pPr>
            <w:r>
              <w:rPr>
                <w:sz w:val="23"/>
                <w:szCs w:val="23"/>
              </w:rPr>
              <w:t>ИНН 2460066195 / КПП 634502001</w:t>
            </w:r>
          </w:p>
          <w:p>
            <w:pPr>
              <w:pStyle w:val="Normal"/>
              <w:widowControl w:val="false"/>
              <w:rPr>
                <w:sz w:val="23"/>
                <w:szCs w:val="23"/>
              </w:rPr>
            </w:pPr>
            <w:r>
              <w:rPr>
                <w:sz w:val="23"/>
                <w:szCs w:val="23"/>
              </w:rPr>
              <w:t>Р/с 40702810054040002491 в Поволжском банке ПАО Сбербанк г. Самара</w:t>
            </w:r>
          </w:p>
          <w:p>
            <w:pPr>
              <w:pStyle w:val="Normal"/>
              <w:widowControl w:val="false"/>
              <w:rPr>
                <w:sz w:val="23"/>
                <w:szCs w:val="23"/>
              </w:rPr>
            </w:pPr>
            <w:r>
              <w:rPr>
                <w:sz w:val="23"/>
                <w:szCs w:val="23"/>
              </w:rPr>
              <w:t>К/с 30101810200000000607</w:t>
            </w:r>
          </w:p>
          <w:p>
            <w:pPr>
              <w:pStyle w:val="Normal"/>
              <w:widowControl w:val="false"/>
              <w:rPr>
                <w:sz w:val="23"/>
                <w:szCs w:val="23"/>
              </w:rPr>
            </w:pPr>
            <w:r>
              <w:rPr>
                <w:sz w:val="23"/>
                <w:szCs w:val="23"/>
              </w:rPr>
              <w:t>БИК 043601607</w:t>
            </w:r>
          </w:p>
          <w:p>
            <w:pPr>
              <w:pStyle w:val="Normal"/>
              <w:widowControl w:val="false"/>
              <w:rPr>
                <w:sz w:val="23"/>
                <w:szCs w:val="23"/>
              </w:rPr>
            </w:pPr>
            <w:r>
              <w:rPr>
                <w:sz w:val="23"/>
                <w:szCs w:val="23"/>
              </w:rPr>
              <w:t>Тел.: (84862) 75-359</w:t>
            </w:r>
          </w:p>
          <w:p>
            <w:pPr>
              <w:pStyle w:val="Normal"/>
              <w:widowControl w:val="false"/>
              <w:rPr>
                <w:sz w:val="23"/>
                <w:szCs w:val="23"/>
              </w:rPr>
            </w:pPr>
            <w:r>
              <w:rPr>
                <w:sz w:val="23"/>
                <w:szCs w:val="23"/>
              </w:rPr>
              <w:t>Факс: (84862) 21-587</w:t>
            </w:r>
          </w:p>
          <w:p>
            <w:pPr>
              <w:pStyle w:val="Normal"/>
              <w:widowControl w:val="false"/>
              <w:rPr>
                <w:sz w:val="23"/>
                <w:szCs w:val="23"/>
              </w:rPr>
            </w:pPr>
            <w:r>
              <w:rPr>
                <w:sz w:val="23"/>
                <w:szCs w:val="23"/>
              </w:rPr>
            </w:r>
          </w:p>
        </w:tc>
        <w:tc>
          <w:tcPr>
            <w:tcW w:w="4789" w:type="dxa"/>
            <w:tcBorders>
              <w:top w:val="single" w:sz="6" w:space="0" w:color="000000"/>
              <w:left w:val="single" w:sz="6" w:space="0" w:color="000000"/>
              <w:bottom w:val="single" w:sz="6" w:space="0" w:color="000000"/>
              <w:right w:val="single" w:sz="4" w:space="0" w:color="000000"/>
            </w:tcBorders>
            <w:shd w:color="auto" w:fill="auto" w:val="clear"/>
          </w:tcPr>
          <w:p>
            <w:pPr>
              <w:pStyle w:val="Normal"/>
              <w:widowControl w:val="false"/>
              <w:rPr>
                <w:sz w:val="23"/>
                <w:szCs w:val="23"/>
              </w:rPr>
            </w:pPr>
            <w:r>
              <w:rPr>
                <w:sz w:val="23"/>
                <w:szCs w:val="23"/>
              </w:rPr>
            </w:r>
          </w:p>
        </w:tc>
      </w:tr>
      <w:tr>
        <w:trPr/>
        <w:tc>
          <w:tcPr>
            <w:tcW w:w="5100" w:type="dxa"/>
            <w:tcBorders>
              <w:top w:val="single" w:sz="6" w:space="0" w:color="000000"/>
              <w:left w:val="single" w:sz="4" w:space="0" w:color="000000"/>
              <w:bottom w:val="single" w:sz="4" w:space="0" w:color="000000"/>
              <w:right w:val="single" w:sz="6" w:space="0" w:color="000000"/>
            </w:tcBorders>
            <w:shd w:color="auto" w:fill="auto" w:val="clear"/>
          </w:tcPr>
          <w:p>
            <w:pPr>
              <w:pStyle w:val="Normal"/>
              <w:widowControl w:val="false"/>
              <w:rPr>
                <w:sz w:val="23"/>
                <w:szCs w:val="23"/>
              </w:rPr>
            </w:pPr>
            <w:r>
              <w:rPr>
                <w:sz w:val="23"/>
                <w:szCs w:val="23"/>
              </w:rPr>
              <w:t xml:space="preserve">_______________ / </w:t>
            </w:r>
            <w:r>
              <w:rPr>
                <w:b/>
                <w:sz w:val="23"/>
                <w:szCs w:val="23"/>
              </w:rPr>
              <w:t>______________</w:t>
            </w:r>
            <w:r>
              <w:rPr>
                <w:sz w:val="23"/>
                <w:szCs w:val="23"/>
              </w:rPr>
              <w:t xml:space="preserve"> / </w:t>
            </w:r>
          </w:p>
          <w:p>
            <w:pPr>
              <w:pStyle w:val="Normal"/>
              <w:widowControl w:val="false"/>
              <w:rPr>
                <w:sz w:val="23"/>
                <w:szCs w:val="23"/>
              </w:rPr>
            </w:pPr>
            <w:r>
              <w:rPr>
                <w:sz w:val="23"/>
                <w:szCs w:val="23"/>
              </w:rPr>
            </w:r>
          </w:p>
        </w:tc>
        <w:tc>
          <w:tcPr>
            <w:tcW w:w="4789" w:type="dxa"/>
            <w:tcBorders>
              <w:top w:val="single" w:sz="6" w:space="0" w:color="000000"/>
              <w:left w:val="single" w:sz="6" w:space="0" w:color="000000"/>
              <w:bottom w:val="single" w:sz="4" w:space="0" w:color="000000"/>
              <w:right w:val="single" w:sz="4" w:space="0" w:color="000000"/>
            </w:tcBorders>
            <w:shd w:color="auto" w:fill="auto" w:val="clear"/>
          </w:tcPr>
          <w:p>
            <w:pPr>
              <w:pStyle w:val="Normal"/>
              <w:widowControl w:val="false"/>
              <w:rPr>
                <w:sz w:val="23"/>
                <w:szCs w:val="23"/>
              </w:rPr>
            </w:pPr>
            <w:r>
              <w:rPr>
                <w:sz w:val="23"/>
                <w:szCs w:val="23"/>
              </w:rPr>
              <w:t xml:space="preserve">_______________ / </w:t>
            </w:r>
            <w:r>
              <w:rPr>
                <w:b/>
                <w:sz w:val="23"/>
                <w:szCs w:val="23"/>
              </w:rPr>
              <w:t xml:space="preserve">___________ </w:t>
            </w:r>
            <w:r>
              <w:rPr>
                <w:sz w:val="23"/>
                <w:szCs w:val="23"/>
              </w:rPr>
              <w:t xml:space="preserve">/ </w:t>
            </w:r>
          </w:p>
        </w:tc>
      </w:tr>
    </w:tbl>
    <w:p>
      <w:pPr>
        <w:pStyle w:val="Normal"/>
        <w:tabs>
          <w:tab w:val="clear" w:pos="708"/>
          <w:tab w:val="left" w:pos="8670" w:leader="none"/>
        </w:tabs>
        <w:rPr/>
      </w:pPr>
      <w:r>
        <w:rPr/>
        <w:tab/>
      </w:r>
    </w:p>
    <w:p>
      <w:pPr>
        <w:pStyle w:val="Normal"/>
        <w:tabs>
          <w:tab w:val="clear" w:pos="708"/>
          <w:tab w:val="left" w:pos="8670" w:leader="none"/>
        </w:tabs>
        <w:rPr/>
      </w:pPr>
      <w:r>
        <w:rPr/>
      </w:r>
    </w:p>
    <w:p>
      <w:pPr>
        <w:pStyle w:val="Normal"/>
        <w:tabs>
          <w:tab w:val="clear" w:pos="708"/>
          <w:tab w:val="left" w:pos="8670" w:leader="none"/>
        </w:tabs>
        <w:rPr/>
      </w:pPr>
      <w:r>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tabs>
          <w:tab w:val="clear" w:pos="708"/>
          <w:tab w:val="left" w:pos="8670" w:leader="none"/>
        </w:tabs>
        <w:jc w:val="right"/>
        <w:rPr>
          <w:sz w:val="22"/>
          <w:szCs w:val="22"/>
        </w:rPr>
      </w:pPr>
      <w:r>
        <w:rPr>
          <w:sz w:val="22"/>
          <w:szCs w:val="22"/>
        </w:rPr>
      </w:r>
    </w:p>
    <w:p>
      <w:pPr>
        <w:pStyle w:val="Normal"/>
        <w:jc w:val="right"/>
        <w:rPr>
          <w:sz w:val="22"/>
          <w:szCs w:val="22"/>
        </w:rPr>
      </w:pPr>
      <w:r>
        <w:rPr>
          <w:sz w:val="22"/>
          <w:szCs w:val="22"/>
        </w:rPr>
        <w:t>Приложение № 2</w:t>
      </w:r>
    </w:p>
    <w:p>
      <w:pPr>
        <w:pStyle w:val="Normal"/>
        <w:jc w:val="right"/>
        <w:rPr>
          <w:sz w:val="22"/>
          <w:szCs w:val="22"/>
        </w:rPr>
      </w:pPr>
      <w:r>
        <w:rPr>
          <w:sz w:val="22"/>
          <w:szCs w:val="22"/>
        </w:rPr>
        <w:t xml:space="preserve">к Договору поставки </w:t>
      </w:r>
    </w:p>
    <w:p>
      <w:pPr>
        <w:pStyle w:val="Normal"/>
        <w:jc w:val="right"/>
        <w:rPr>
          <w:sz w:val="22"/>
          <w:szCs w:val="22"/>
        </w:rPr>
      </w:pPr>
      <w:r>
        <w:rPr>
          <w:sz w:val="22"/>
          <w:szCs w:val="22"/>
        </w:rPr>
        <w:t xml:space="preserve">от «____» ________ 2026 г. № </w:t>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t>ТЕХНИЧЕСКИЕ ТРЕБОВАНИЯ</w:t>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t>ПОДПИСИ СТОРОН:</w:t>
      </w:r>
    </w:p>
    <w:p>
      <w:pPr>
        <w:pStyle w:val="Normal"/>
        <w:jc w:val="center"/>
        <w:rPr>
          <w:sz w:val="22"/>
          <w:szCs w:val="22"/>
        </w:rPr>
      </w:pPr>
      <w:r>
        <w:rPr>
          <w:sz w:val="22"/>
          <w:szCs w:val="22"/>
        </w:rPr>
      </w:r>
    </w:p>
    <w:p>
      <w:pPr>
        <w:pStyle w:val="Normal"/>
        <w:jc w:val="center"/>
        <w:rPr>
          <w:sz w:val="22"/>
          <w:szCs w:val="22"/>
        </w:rPr>
      </w:pPr>
      <w:r>
        <w:rPr>
          <w:sz w:val="22"/>
          <w:szCs w:val="22"/>
        </w:rPr>
      </w:r>
    </w:p>
    <w:tbl>
      <w:tblPr>
        <w:tblStyle w:val="affb"/>
        <w:tblW w:w="9911"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4955"/>
        <w:gridCol w:w="4955"/>
      </w:tblGrid>
      <w:tr>
        <w:trPr/>
        <w:tc>
          <w:tcPr>
            <w:tcW w:w="4955" w:type="dxa"/>
            <w:tcBorders>
              <w:top w:val="nil"/>
              <w:left w:val="nil"/>
              <w:bottom w:val="nil"/>
              <w:right w:val="nil"/>
            </w:tcBorders>
          </w:tcPr>
          <w:p>
            <w:pPr>
              <w:pStyle w:val="Normal"/>
              <w:widowControl w:val="false"/>
              <w:suppressAutoHyphens w:val="true"/>
              <w:spacing w:before="0" w:after="0"/>
              <w:jc w:val="left"/>
              <w:rPr>
                <w:sz w:val="22"/>
                <w:szCs w:val="22"/>
              </w:rPr>
            </w:pPr>
            <w:r>
              <w:rPr>
                <w:rFonts w:eastAsia="Times New Roman" w:cs="Times New Roman"/>
                <w:kern w:val="0"/>
                <w:sz w:val="22"/>
                <w:szCs w:val="22"/>
                <w:lang w:val="ru-RU" w:eastAsia="ru-RU" w:bidi="ar-SA"/>
              </w:rPr>
              <w:t>Покупатель:</w:t>
            </w:r>
          </w:p>
          <w:p>
            <w:pPr>
              <w:pStyle w:val="Normal"/>
              <w:widowControl w:val="false"/>
              <w:suppressAutoHyphens w:val="true"/>
              <w:spacing w:before="0" w:after="0"/>
              <w:jc w:val="left"/>
              <w:rPr>
                <w:sz w:val="22"/>
                <w:szCs w:val="22"/>
              </w:rPr>
            </w:pPr>
            <w:r>
              <w:rPr>
                <w:rFonts w:eastAsia="Times New Roman" w:cs="Times New Roman"/>
                <w:kern w:val="0"/>
                <w:sz w:val="22"/>
                <w:szCs w:val="22"/>
                <w:lang w:val="ru-RU" w:eastAsia="ru-RU" w:bidi="ar-SA"/>
              </w:rPr>
            </w:r>
          </w:p>
          <w:p>
            <w:pPr>
              <w:pStyle w:val="Normal"/>
              <w:widowControl w:val="false"/>
              <w:suppressAutoHyphens w:val="true"/>
              <w:spacing w:before="0" w:after="0"/>
              <w:jc w:val="left"/>
              <w:rPr>
                <w:sz w:val="22"/>
                <w:szCs w:val="22"/>
              </w:rPr>
            </w:pPr>
            <w:r>
              <w:rPr>
                <w:rFonts w:eastAsia="Times New Roman" w:cs="Times New Roman"/>
                <w:kern w:val="0"/>
                <w:sz w:val="22"/>
                <w:szCs w:val="22"/>
                <w:lang w:val="ru-RU" w:eastAsia="ru-RU" w:bidi="ar-SA"/>
              </w:rPr>
            </w:r>
          </w:p>
        </w:tc>
        <w:tc>
          <w:tcPr>
            <w:tcW w:w="4955" w:type="dxa"/>
            <w:tcBorders>
              <w:top w:val="nil"/>
              <w:left w:val="nil"/>
              <w:bottom w:val="nil"/>
              <w:right w:val="nil"/>
            </w:tcBorders>
          </w:tcPr>
          <w:p>
            <w:pPr>
              <w:pStyle w:val="Normal"/>
              <w:widowControl w:val="false"/>
              <w:suppressAutoHyphens w:val="true"/>
              <w:spacing w:before="0" w:after="0"/>
              <w:jc w:val="left"/>
              <w:rPr>
                <w:sz w:val="22"/>
                <w:szCs w:val="22"/>
              </w:rPr>
            </w:pPr>
            <w:r>
              <w:rPr>
                <w:rFonts w:eastAsia="Times New Roman" w:cs="Times New Roman"/>
                <w:kern w:val="0"/>
                <w:sz w:val="22"/>
                <w:szCs w:val="22"/>
                <w:lang w:val="ru-RU" w:eastAsia="ru-RU" w:bidi="ar-SA"/>
              </w:rPr>
              <w:t>Поставщик:</w:t>
            </w:r>
          </w:p>
          <w:p>
            <w:pPr>
              <w:pStyle w:val="Normal"/>
              <w:widowControl w:val="false"/>
              <w:suppressAutoHyphens w:val="true"/>
              <w:spacing w:before="0" w:after="0"/>
              <w:jc w:val="left"/>
              <w:rPr>
                <w:sz w:val="22"/>
                <w:szCs w:val="22"/>
              </w:rPr>
            </w:pPr>
            <w:r>
              <w:rPr>
                <w:rFonts w:eastAsia="Times New Roman" w:cs="Times New Roman"/>
                <w:kern w:val="0"/>
                <w:sz w:val="22"/>
                <w:szCs w:val="22"/>
                <w:lang w:val="ru-RU" w:eastAsia="ru-RU" w:bidi="ar-SA"/>
              </w:rPr>
            </w:r>
          </w:p>
        </w:tc>
      </w:tr>
      <w:tr>
        <w:trPr/>
        <w:tc>
          <w:tcPr>
            <w:tcW w:w="4955" w:type="dxa"/>
            <w:tcBorders>
              <w:top w:val="nil"/>
              <w:left w:val="nil"/>
              <w:bottom w:val="nil"/>
              <w:right w:val="nil"/>
            </w:tcBorders>
          </w:tcPr>
          <w:p>
            <w:pPr>
              <w:pStyle w:val="Normal"/>
              <w:widowControl w:val="false"/>
              <w:suppressAutoHyphens w:val="true"/>
              <w:spacing w:before="0" w:after="0"/>
              <w:jc w:val="left"/>
              <w:rPr>
                <w:sz w:val="22"/>
                <w:szCs w:val="22"/>
              </w:rPr>
            </w:pPr>
            <w:r>
              <w:rPr>
                <w:rFonts w:eastAsia="Times New Roman" w:cs="Times New Roman"/>
                <w:kern w:val="0"/>
                <w:sz w:val="22"/>
                <w:szCs w:val="22"/>
                <w:lang w:val="ru-RU" w:eastAsia="ru-RU" w:bidi="ar-SA"/>
              </w:rPr>
              <w:t>_____________________/_____________</w:t>
            </w:r>
          </w:p>
          <w:p>
            <w:pPr>
              <w:pStyle w:val="Normal"/>
              <w:widowControl w:val="false"/>
              <w:suppressAutoHyphens w:val="true"/>
              <w:spacing w:before="0" w:after="0"/>
              <w:jc w:val="left"/>
              <w:rPr>
                <w:sz w:val="22"/>
                <w:szCs w:val="22"/>
              </w:rPr>
            </w:pPr>
            <w:r>
              <w:rPr>
                <w:rFonts w:eastAsia="Times New Roman" w:cs="Times New Roman"/>
                <w:kern w:val="0"/>
                <w:sz w:val="22"/>
                <w:szCs w:val="22"/>
                <w:lang w:val="ru-RU" w:eastAsia="ru-RU" w:bidi="ar-SA"/>
              </w:rPr>
            </w:r>
          </w:p>
        </w:tc>
        <w:tc>
          <w:tcPr>
            <w:tcW w:w="4955" w:type="dxa"/>
            <w:tcBorders>
              <w:top w:val="nil"/>
              <w:left w:val="nil"/>
              <w:bottom w:val="nil"/>
              <w:right w:val="nil"/>
            </w:tcBorders>
          </w:tcPr>
          <w:p>
            <w:pPr>
              <w:pStyle w:val="Normal"/>
              <w:widowControl w:val="false"/>
              <w:suppressAutoHyphens w:val="true"/>
              <w:spacing w:before="0" w:after="0"/>
              <w:jc w:val="left"/>
              <w:rPr>
                <w:sz w:val="22"/>
                <w:szCs w:val="22"/>
              </w:rPr>
            </w:pPr>
            <w:r>
              <w:rPr>
                <w:rFonts w:eastAsia="Times New Roman" w:cs="Times New Roman"/>
                <w:kern w:val="0"/>
                <w:sz w:val="22"/>
                <w:szCs w:val="22"/>
                <w:lang w:val="ru-RU" w:eastAsia="ru-RU" w:bidi="ar-SA"/>
              </w:rPr>
              <w:t>_____________________/_____________</w:t>
            </w:r>
          </w:p>
        </w:tc>
      </w:tr>
    </w:tbl>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right"/>
        <w:rPr>
          <w:sz w:val="22"/>
          <w:szCs w:val="22"/>
        </w:rPr>
      </w:pPr>
      <w:bookmarkStart w:id="11" w:name="_GoBack"/>
      <w:bookmarkEnd w:id="11"/>
      <w:r>
        <w:rPr>
          <w:sz w:val="22"/>
          <w:szCs w:val="22"/>
        </w:rPr>
        <w:t>Приложение № 3</w:t>
      </w:r>
    </w:p>
    <w:p>
      <w:pPr>
        <w:pStyle w:val="Normal"/>
        <w:jc w:val="right"/>
        <w:rPr>
          <w:sz w:val="22"/>
          <w:szCs w:val="22"/>
        </w:rPr>
      </w:pPr>
      <w:r>
        <w:rPr>
          <w:sz w:val="22"/>
          <w:szCs w:val="22"/>
        </w:rPr>
        <w:t xml:space="preserve">            </w:t>
      </w:r>
      <w:r>
        <w:rPr>
          <w:sz w:val="22"/>
          <w:szCs w:val="22"/>
        </w:rPr>
        <w:t>к Договору поставки</w:t>
      </w:r>
    </w:p>
    <w:p>
      <w:pPr>
        <w:pStyle w:val="Normal"/>
        <w:jc w:val="right"/>
        <w:rPr>
          <w:sz w:val="22"/>
          <w:szCs w:val="22"/>
        </w:rPr>
      </w:pPr>
      <w:r>
        <w:rPr>
          <w:sz w:val="22"/>
          <w:szCs w:val="22"/>
        </w:rPr>
        <w:t xml:space="preserve">              </w:t>
      </w:r>
      <w:r>
        <w:rPr>
          <w:sz w:val="22"/>
          <w:szCs w:val="22"/>
        </w:rPr>
        <w:t>от «____» ________ 2026 г. №_______</w:t>
      </w:r>
    </w:p>
    <w:p>
      <w:pPr>
        <w:pStyle w:val="Normal"/>
        <w:jc w:val="right"/>
        <w:rPr>
          <w:sz w:val="22"/>
          <w:szCs w:val="22"/>
        </w:rPr>
      </w:pPr>
      <w:r>
        <w:rPr>
          <w:sz w:val="22"/>
          <w:szCs w:val="22"/>
        </w:rPr>
      </w:r>
    </w:p>
    <w:p>
      <w:pPr>
        <w:pStyle w:val="Normal"/>
        <w:widowControl/>
        <w:spacing w:before="20" w:after="20"/>
        <w:ind w:firstLine="709"/>
        <w:jc w:val="center"/>
        <w:rPr>
          <w:sz w:val="24"/>
          <w:szCs w:val="24"/>
        </w:rPr>
      </w:pPr>
      <w:bookmarkStart w:id="12" w:name="_Toc122678954_Копия_5"/>
      <w:r>
        <w:rPr>
          <w:b/>
          <w:sz w:val="24"/>
          <w:szCs w:val="24"/>
        </w:rPr>
        <w:t>Методика расчета упущенной выгоды (выручки)</w:t>
      </w:r>
      <w:bookmarkEnd w:id="12"/>
      <w:r>
        <w:rPr>
          <w:b/>
          <w:sz w:val="24"/>
          <w:szCs w:val="24"/>
        </w:rPr>
        <w:t xml:space="preserve"> </w:t>
      </w:r>
    </w:p>
    <w:p>
      <w:pPr>
        <w:pStyle w:val="Normal"/>
        <w:spacing w:before="20" w:after="20"/>
        <w:ind w:firstLine="709"/>
        <w:jc w:val="center"/>
        <w:rPr>
          <w:b/>
          <w:sz w:val="24"/>
          <w:szCs w:val="24"/>
        </w:rPr>
      </w:pPr>
      <w:r>
        <w:rPr>
          <w:b/>
          <w:sz w:val="24"/>
          <w:szCs w:val="24"/>
        </w:rPr>
        <w:t>и дополнительных обязательств участника ОРЭМ от недопоставки электрической энергии и мощности на ОРЭМ в отдельной территории ценовой зоны оптового рынка, ранее относившейся к неценовой зоне отпового рынка Дальнего Востока</w:t>
      </w:r>
    </w:p>
    <w:p>
      <w:pPr>
        <w:pStyle w:val="Normal"/>
        <w:widowControl/>
        <w:spacing w:before="20" w:after="20"/>
        <w:ind w:firstLine="709"/>
        <w:jc w:val="center"/>
        <w:rPr>
          <w:sz w:val="24"/>
          <w:szCs w:val="24"/>
        </w:rPr>
      </w:pPr>
      <w:r>
        <w:rPr>
          <w:sz w:val="24"/>
          <w:szCs w:val="24"/>
        </w:rPr>
      </w:r>
    </w:p>
    <w:p>
      <w:pPr>
        <w:pStyle w:val="Normal"/>
        <w:widowControl/>
        <w:ind w:firstLine="709"/>
        <w:jc w:val="both"/>
        <w:rPr>
          <w:sz w:val="24"/>
          <w:szCs w:val="24"/>
        </w:rPr>
      </w:pPr>
      <w:r>
        <w:rPr>
          <w:sz w:val="24"/>
          <w:szCs w:val="24"/>
        </w:rPr>
        <w:t>Для определения снижения оплаты мощности в результате аварийных, неотложных, неплановых ремонтов, продления ремонтов, вынужденных простоев, снижения максимальной мощности используются следующие документы:</w:t>
      </w:r>
    </w:p>
    <w:p>
      <w:pPr>
        <w:pStyle w:val="Normal"/>
        <w:widowControl/>
        <w:ind w:firstLine="709"/>
        <w:jc w:val="both"/>
        <w:rPr>
          <w:sz w:val="24"/>
          <w:szCs w:val="24"/>
        </w:rPr>
      </w:pPr>
      <w:r>
        <w:rPr>
          <w:sz w:val="24"/>
          <w:szCs w:val="24"/>
        </w:rPr>
        <w:t>1. Заявки на изменения эксплуатационного состояния или технологического режима работы энергетического оборудования, находящегося в диспетчерском ведении ОДУ Востока подаваемые посредством использования единого программного комплекса (ПК «Заявки») в соответствии с п. 4 «Положения о порядке оформления, подачи, рассмотрения и согласования диспетчерских заявок на изменение технологического режима работы или эксплуатационного состояния объектов диспетчеризации ОДУ Востока».</w:t>
      </w:r>
    </w:p>
    <w:p>
      <w:pPr>
        <w:pStyle w:val="Normal"/>
        <w:widowControl/>
        <w:spacing w:before="20" w:after="20"/>
        <w:ind w:firstLine="709"/>
        <w:jc w:val="both"/>
        <w:rPr>
          <w:sz w:val="24"/>
          <w:szCs w:val="24"/>
        </w:rPr>
      </w:pPr>
      <w:r>
        <w:rPr>
          <w:sz w:val="24"/>
          <w:szCs w:val="24"/>
        </w:rPr>
        <w:t xml:space="preserve"> </w:t>
      </w:r>
      <w:r>
        <w:rPr>
          <w:sz w:val="24"/>
          <w:szCs w:val="24"/>
        </w:rPr>
        <w:t xml:space="preserve">В заявках должны быть указаны: </w:t>
      </w:r>
    </w:p>
    <w:p>
      <w:pPr>
        <w:pStyle w:val="Normal"/>
        <w:widowControl/>
        <w:numPr>
          <w:ilvl w:val="0"/>
          <w:numId w:val="9"/>
        </w:numPr>
        <w:ind w:left="0" w:firstLine="709"/>
        <w:jc w:val="both"/>
        <w:rPr>
          <w:bCs/>
          <w:sz w:val="24"/>
          <w:szCs w:val="24"/>
          <w:lang w:val="en-GB"/>
        </w:rPr>
      </w:pPr>
      <w:r>
        <w:rPr>
          <w:bCs/>
          <w:sz w:val="24"/>
          <w:szCs w:val="24"/>
          <w:lang w:val="en-GB"/>
        </w:rPr>
        <w:t>номер заявки;</w:t>
      </w:r>
    </w:p>
    <w:p>
      <w:pPr>
        <w:pStyle w:val="Normal"/>
        <w:widowControl/>
        <w:numPr>
          <w:ilvl w:val="0"/>
          <w:numId w:val="9"/>
        </w:numPr>
        <w:ind w:left="0" w:firstLine="709"/>
        <w:jc w:val="both"/>
        <w:rPr>
          <w:bCs/>
          <w:sz w:val="24"/>
          <w:szCs w:val="24"/>
          <w:lang w:val="en-GB"/>
        </w:rPr>
      </w:pPr>
      <w:r>
        <w:rPr>
          <w:bCs/>
          <w:sz w:val="24"/>
          <w:szCs w:val="24"/>
          <w:lang w:val="en-GB"/>
        </w:rPr>
        <w:t>подающее предприятие;</w:t>
      </w:r>
    </w:p>
    <w:p>
      <w:pPr>
        <w:pStyle w:val="Normal"/>
        <w:widowControl/>
        <w:numPr>
          <w:ilvl w:val="0"/>
          <w:numId w:val="9"/>
        </w:numPr>
        <w:ind w:left="0" w:firstLine="709"/>
        <w:jc w:val="both"/>
        <w:rPr>
          <w:bCs/>
          <w:sz w:val="24"/>
          <w:szCs w:val="24"/>
        </w:rPr>
      </w:pPr>
      <w:r>
        <w:rPr>
          <w:bCs/>
          <w:sz w:val="24"/>
          <w:szCs w:val="24"/>
        </w:rPr>
        <w:t>оборудование, по которому фиксируется изменение эксплуатационного состояния или технологического режима работы;</w:t>
      </w:r>
    </w:p>
    <w:p>
      <w:pPr>
        <w:pStyle w:val="Normal"/>
        <w:widowControl/>
        <w:numPr>
          <w:ilvl w:val="0"/>
          <w:numId w:val="9"/>
        </w:numPr>
        <w:ind w:left="0" w:firstLine="709"/>
        <w:jc w:val="both"/>
        <w:rPr>
          <w:bCs/>
          <w:sz w:val="24"/>
          <w:szCs w:val="24"/>
          <w:lang w:val="en-GB"/>
        </w:rPr>
      </w:pPr>
      <w:r>
        <w:rPr>
          <w:bCs/>
          <w:sz w:val="24"/>
          <w:szCs w:val="24"/>
          <w:lang w:val="en-GB"/>
        </w:rPr>
        <w:t>величина снижения максимальной мощности;</w:t>
      </w:r>
    </w:p>
    <w:p>
      <w:pPr>
        <w:pStyle w:val="Normal"/>
        <w:widowControl/>
        <w:numPr>
          <w:ilvl w:val="0"/>
          <w:numId w:val="9"/>
        </w:numPr>
        <w:ind w:left="0" w:firstLine="709"/>
        <w:jc w:val="both"/>
        <w:rPr>
          <w:bCs/>
          <w:sz w:val="24"/>
          <w:szCs w:val="24"/>
          <w:lang w:val="en-GB"/>
        </w:rPr>
      </w:pPr>
      <w:r>
        <w:rPr>
          <w:bCs/>
          <w:sz w:val="24"/>
          <w:szCs w:val="24"/>
          <w:lang w:val="en-GB"/>
        </w:rPr>
        <w:t>содержание работ;</w:t>
      </w:r>
    </w:p>
    <w:p>
      <w:pPr>
        <w:pStyle w:val="Normal"/>
        <w:widowControl/>
        <w:numPr>
          <w:ilvl w:val="0"/>
          <w:numId w:val="9"/>
        </w:numPr>
        <w:ind w:left="0" w:firstLine="709"/>
        <w:jc w:val="both"/>
        <w:rPr>
          <w:bCs/>
          <w:sz w:val="24"/>
          <w:szCs w:val="24"/>
          <w:lang w:val="en-GB"/>
        </w:rPr>
      </w:pPr>
      <w:r>
        <w:rPr>
          <w:bCs/>
          <w:sz w:val="24"/>
          <w:szCs w:val="24"/>
          <w:lang w:val="en-GB"/>
        </w:rPr>
        <w:t>время подачи заявки;</w:t>
      </w:r>
    </w:p>
    <w:p>
      <w:pPr>
        <w:pStyle w:val="Normal"/>
        <w:widowControl/>
        <w:numPr>
          <w:ilvl w:val="0"/>
          <w:numId w:val="9"/>
        </w:numPr>
        <w:ind w:left="0" w:firstLine="709"/>
        <w:jc w:val="both"/>
        <w:rPr>
          <w:bCs/>
          <w:sz w:val="24"/>
          <w:szCs w:val="24"/>
        </w:rPr>
      </w:pPr>
      <w:r>
        <w:rPr>
          <w:bCs/>
          <w:sz w:val="24"/>
          <w:szCs w:val="24"/>
        </w:rPr>
        <w:t>время начала и конца действия заявки и др.</w:t>
      </w:r>
    </w:p>
    <w:p>
      <w:pPr>
        <w:pStyle w:val="Normal"/>
        <w:widowControl/>
        <w:spacing w:before="120" w:after="20"/>
        <w:ind w:firstLine="709"/>
        <w:jc w:val="both"/>
        <w:rPr>
          <w:sz w:val="24"/>
          <w:szCs w:val="24"/>
        </w:rPr>
      </w:pPr>
      <w:r>
        <w:rPr>
          <w:sz w:val="24"/>
          <w:szCs w:val="24"/>
        </w:rPr>
        <w:t>2.</w:t>
        <w:tab/>
      </w:r>
      <w:r>
        <w:rPr/>
      </w:r>
      <m:oMath xmlns:m="http://schemas.openxmlformats.org/officeDocument/2006/math">
        <m:sSubSup>
          <m:e>
            <m:r>
              <w:rPr>
                <w:rFonts w:ascii="Cambria Math" w:hAnsi="Cambria Math"/>
              </w:rPr>
              <m:t xml:space="preserve">Δ</m:t>
            </m:r>
          </m:e>
          <m:sub>
            <m:r>
              <w:rPr>
                <w:rFonts w:ascii="Cambria Math" w:hAnsi="Cambria Math"/>
              </w:rPr>
              <m:t xml:space="preserve">1</m:t>
            </m:r>
            <m:r>
              <m:rPr>
                <m:lit/>
                <m:nor/>
              </m:rPr>
              <w:rPr>
                <w:rFonts w:ascii="Cambria Math" w:hAnsi="Cambria Math"/>
              </w:rPr>
              <m:t xml:space="preserve">.</m:t>
            </m:r>
            <m:r>
              <w:rPr>
                <w:rFonts w:ascii="Cambria Math" w:hAnsi="Cambria Math"/>
              </w:rPr>
              <m:t xml:space="preserve">1</m:t>
            </m:r>
            <m:r>
              <w:rPr>
                <w:rFonts w:ascii="Cambria Math" w:hAnsi="Cambria Math"/>
              </w:rPr>
              <m:t xml:space="preserve">,</m:t>
            </m:r>
            <m:r>
              <w:rPr>
                <w:rFonts w:ascii="Cambria Math" w:hAnsi="Cambria Math"/>
              </w:rPr>
              <m:t xml:space="preserve">h</m:t>
            </m:r>
          </m:sub>
          <m:sup>
            <m:r>
              <w:rPr>
                <w:rFonts w:ascii="Cambria Math" w:hAnsi="Cambria Math"/>
              </w:rPr>
              <m:t xml:space="preserve">j</m:t>
            </m:r>
          </m:sup>
        </m:sSubSup>
        <m:sSubSup>
          <m:e>
            <m:r>
              <w:rPr>
                <w:rFonts w:ascii="Cambria Math" w:hAnsi="Cambria Math"/>
              </w:rPr>
              <m:t xml:space="preserve">Δ</m:t>
            </m:r>
          </m:e>
          <m:sub>
            <m:r>
              <w:rPr>
                <w:rFonts w:ascii="Cambria Math" w:hAnsi="Cambria Math"/>
              </w:rPr>
              <m:t xml:space="preserve">1</m:t>
            </m:r>
            <m:r>
              <m:rPr>
                <m:lit/>
                <m:nor/>
              </m:rPr>
              <w:rPr>
                <w:rFonts w:ascii="Cambria Math" w:hAnsi="Cambria Math"/>
              </w:rPr>
              <m:t xml:space="preserve">.</m:t>
            </m:r>
            <m:r>
              <w:rPr>
                <w:rFonts w:ascii="Cambria Math" w:hAnsi="Cambria Math"/>
              </w:rPr>
              <m:t xml:space="preserve">2</m:t>
            </m:r>
            <m:r>
              <w:rPr>
                <w:rFonts w:ascii="Cambria Math" w:hAnsi="Cambria Math"/>
              </w:rPr>
              <m:t xml:space="preserve">,</m:t>
            </m:r>
            <m:r>
              <w:rPr>
                <w:rFonts w:ascii="Cambria Math" w:hAnsi="Cambria Math"/>
              </w:rPr>
              <m:t xml:space="preserve">h</m:t>
            </m:r>
          </m:sub>
          <m:sup>
            <m:r>
              <w:rPr>
                <w:rFonts w:ascii="Cambria Math" w:hAnsi="Cambria Math"/>
              </w:rPr>
              <m:t xml:space="preserve">j</m:t>
            </m:r>
          </m:sup>
        </m:sSubSup>
        <m:sSup>
          <m:e>
            <m:r>
              <w:rPr>
                <w:rFonts w:ascii="Cambria Math" w:hAnsi="Cambria Math"/>
              </w:rPr>
              <m:t xml:space="preserve">Δ</m:t>
            </m:r>
          </m:e>
          <m:sup>
            <m:sSubSup>
              <m:e>
                <m:r>
                  <w:rPr>
                    <w:rFonts w:ascii="Cambria Math" w:hAnsi="Cambria Math"/>
                  </w:rPr>
                  <m:t xml:space="preserve">j</m:t>
                </m:r>
              </m:e>
              <m:sub>
                <m:r>
                  <w:rPr>
                    <w:rFonts w:ascii="Cambria Math" w:hAnsi="Cambria Math"/>
                  </w:rPr>
                  <m:t xml:space="preserve">2</m:t>
                </m:r>
                <m:r>
                  <m:rPr>
                    <m:lit/>
                    <m:nor/>
                  </m:rPr>
                  <w:rPr>
                    <w:rFonts w:ascii="Cambria Math" w:hAnsi="Cambria Math"/>
                  </w:rPr>
                  <m:t xml:space="preserve">_max,</m:t>
                </m:r>
                <m:r>
                  <w:rPr>
                    <w:rFonts w:ascii="Cambria Math" w:hAnsi="Cambria Math"/>
                  </w:rPr>
                  <m:t xml:space="preserve">h</m:t>
                </m:r>
              </m:sub>
              <m:sup>
                <m:r>
                  <w:rPr>
                    <w:rFonts w:ascii="Cambria Math" w:hAnsi="Cambria Math"/>
                  </w:rPr>
                  <m:t xml:space="preserve">1</m:t>
                </m:r>
                <m:d>
                  <m:dPr>
                    <m:begChr m:val="("/>
                    <m:endChr m:val=")"/>
                  </m:dPr>
                  <m:e>
                    <m:r>
                      <m:rPr>
                        <m:lit/>
                        <m:nor/>
                      </m:rPr>
                      <w:rPr>
                        <w:rFonts w:ascii="Cambria Math" w:hAnsi="Cambria Math"/>
                      </w:rPr>
                      <m:t xml:space="preserve">120</m:t>
                    </m:r>
                  </m:e>
                </m:d>
              </m:sup>
            </m:sSubSup>
          </m:sup>
        </m:sSup>
        <m:sSub>
          <m:e>
            <m:r>
              <w:rPr>
                <w:rFonts w:ascii="Cambria Math" w:hAnsi="Cambria Math"/>
              </w:rPr>
              <m:t xml:space="preserve">k</m:t>
            </m:r>
          </m:e>
          <m:sub>
            <m:r>
              <w:rPr>
                <w:rFonts w:ascii="Cambria Math" w:hAnsi="Cambria Math"/>
              </w:rPr>
              <m:t xml:space="preserve">Α</m:t>
            </m:r>
            <m:r>
              <w:rPr>
                <w:rFonts w:ascii="Cambria Math" w:hAnsi="Cambria Math"/>
              </w:rPr>
              <m:t xml:space="preserve">2</m:t>
            </m:r>
          </m:sub>
        </m:sSub>
        <m:sSub>
          <m:e>
            <m:r>
              <w:rPr>
                <w:rFonts w:ascii="Cambria Math" w:hAnsi="Cambria Math"/>
              </w:rPr>
              <m:t xml:space="preserve">k</m:t>
            </m:r>
          </m:e>
          <m:sub>
            <m:r>
              <w:rPr>
                <w:rFonts w:ascii="Cambria Math" w:hAnsi="Cambria Math"/>
              </w:rPr>
              <m:t xml:space="preserve">Α</m:t>
            </m:r>
            <m:r>
              <w:rPr>
                <w:rFonts w:ascii="Cambria Math" w:hAnsi="Cambria Math"/>
              </w:rPr>
              <m:t xml:space="preserve">3</m:t>
            </m:r>
          </m:sub>
        </m:sSub>
        <m:sSub>
          <m:e>
            <m:r>
              <w:rPr>
                <w:rFonts w:ascii="Cambria Math" w:hAnsi="Cambria Math"/>
              </w:rPr>
              <m:t xml:space="preserve">k</m:t>
            </m:r>
          </m:e>
          <m:sub>
            <m:r>
              <m:rPr>
                <m:lit/>
                <m:nor/>
              </m:rPr>
              <w:rPr>
                <w:rFonts w:ascii="Cambria Math" w:hAnsi="Cambria Math"/>
              </w:rPr>
              <m:t xml:space="preserve">Б1</m:t>
            </m:r>
          </m:sub>
        </m:sSub>
        <m:sSub>
          <m:e>
            <m:r>
              <w:rPr>
                <w:rFonts w:ascii="Cambria Math" w:hAnsi="Cambria Math"/>
              </w:rPr>
              <m:t xml:space="preserve">k</m:t>
            </m:r>
          </m:e>
          <m:sub>
            <m:r>
              <m:rPr>
                <m:lit/>
                <m:nor/>
              </m:rPr>
              <w:rPr>
                <w:rFonts w:ascii="Cambria Math" w:hAnsi="Cambria Math"/>
              </w:rPr>
              <m:t xml:space="preserve">Б2</m:t>
            </m:r>
          </m:sub>
        </m:sSub>
        <m:sSub>
          <m:e>
            <m:r>
              <w:rPr>
                <w:rFonts w:ascii="Cambria Math" w:hAnsi="Cambria Math"/>
              </w:rPr>
              <m:t xml:space="preserve">k</m:t>
            </m:r>
          </m:e>
          <m:sub>
            <m:r>
              <m:rPr>
                <m:lit/>
                <m:nor/>
              </m:rPr>
              <w:rPr>
                <w:rFonts w:ascii="Cambria Math" w:hAnsi="Cambria Math"/>
              </w:rPr>
              <m:t xml:space="preserve">В2</m:t>
            </m:r>
          </m:sub>
        </m:sSub>
        <m:sSub>
          <m:e>
            <m:r>
              <w:rPr>
                <w:rFonts w:ascii="Cambria Math" w:hAnsi="Cambria Math"/>
              </w:rPr>
              <m:t xml:space="preserve">k</m:t>
            </m:r>
          </m:e>
          <m:sub>
            <m:r>
              <m:rPr>
                <m:lit/>
                <m:nor/>
              </m:rPr>
              <w:rPr>
                <w:rFonts w:ascii="Cambria Math" w:hAnsi="Cambria Math"/>
              </w:rPr>
              <m:t xml:space="preserve">В3</m:t>
            </m:r>
          </m:sub>
        </m:sSub>
        <m:sSub>
          <m:e>
            <m:r>
              <w:rPr>
                <w:rFonts w:ascii="Cambria Math" w:hAnsi="Cambria Math"/>
              </w:rPr>
              <m:t xml:space="preserve">k</m:t>
            </m:r>
          </m:e>
          <m:sub>
            <m:r>
              <m:rPr>
                <m:lit/>
                <m:nor/>
              </m:rPr>
              <w:rPr>
                <w:rFonts w:ascii="Cambria Math" w:hAnsi="Cambria Math"/>
              </w:rPr>
              <m:t xml:space="preserve">Г1</m:t>
            </m:r>
          </m:sub>
        </m:sSub>
        <m:sSub>
          <m:e>
            <m:r>
              <w:rPr>
                <w:rFonts w:ascii="Cambria Math" w:hAnsi="Cambria Math"/>
              </w:rPr>
              <m:t xml:space="preserve">k</m:t>
            </m:r>
          </m:e>
          <m:sub>
            <m:r>
              <m:rPr>
                <m:lit/>
                <m:nor/>
              </m:rPr>
              <w:rPr>
                <w:rFonts w:ascii="Cambria Math" w:hAnsi="Cambria Math"/>
              </w:rPr>
              <m:t xml:space="preserve">Г2</m:t>
            </m:r>
          </m:sub>
        </m:sSub>
        <m:sSub>
          <m:e>
            <m:r>
              <w:rPr>
                <w:rFonts w:ascii="Cambria Math" w:hAnsi="Cambria Math"/>
              </w:rPr>
              <m:t xml:space="preserve">k</m:t>
            </m:r>
          </m:e>
          <m:sub>
            <m:r>
              <m:rPr>
                <m:lit/>
                <m:nor/>
              </m:rPr>
              <w:rPr>
                <w:rFonts w:ascii="Cambria Math" w:hAnsi="Cambria Math"/>
              </w:rPr>
              <m:t xml:space="preserve">Г3</m:t>
            </m:r>
          </m:sub>
        </m:sSub>
        <m:sSub>
          <m:e>
            <m:r>
              <w:rPr>
                <w:rFonts w:ascii="Cambria Math" w:hAnsi="Cambria Math"/>
              </w:rPr>
              <m:t xml:space="preserve">k</m:t>
            </m:r>
          </m:e>
          <m:sub>
            <m:r>
              <w:rPr>
                <w:rFonts w:ascii="Cambria Math" w:hAnsi="Cambria Math"/>
              </w:rPr>
              <m:t xml:space="preserve">Д</m:t>
            </m:r>
          </m:sub>
        </m:sSub>
        <m:sSub>
          <m:e>
            <m:r>
              <w:rPr>
                <w:rFonts w:ascii="Cambria Math" w:hAnsi="Cambria Math"/>
              </w:rPr>
              <m:t xml:space="preserve">k</m:t>
            </m:r>
          </m:e>
          <m:sub>
            <m:r>
              <w:rPr>
                <w:rFonts w:ascii="Cambria Math" w:hAnsi="Cambria Math"/>
              </w:rPr>
              <m:t xml:space="preserve">Е</m:t>
            </m:r>
          </m:sub>
        </m:sSub>
        <m:sSub>
          <m:e>
            <m:r>
              <w:rPr>
                <w:rFonts w:ascii="Cambria Math" w:hAnsi="Cambria Math"/>
              </w:rPr>
              <m:t xml:space="preserve">k</m:t>
            </m:r>
          </m:e>
          <m:sub>
            <m:r>
              <w:rPr>
                <w:rFonts w:ascii="Cambria Math" w:hAnsi="Cambria Math"/>
              </w:rPr>
              <m:t xml:space="preserve">Ж</m:t>
            </m:r>
          </m:sub>
        </m:sSub>
        <m:sSub>
          <m:e>
            <m:r>
              <w:rPr>
                <w:rFonts w:ascii="Cambria Math" w:hAnsi="Cambria Math"/>
              </w:rPr>
              <m:t xml:space="preserve">k</m:t>
            </m:r>
          </m:e>
          <m:sub>
            <m:r>
              <w:rPr>
                <w:rFonts w:ascii="Cambria Math" w:hAnsi="Cambria Math"/>
              </w:rPr>
              <m:t xml:space="preserve">З</m:t>
            </m:r>
          </m:sub>
        </m:sSub>
        <m:sSub>
          <m:e>
            <m:r>
              <w:rPr>
                <w:rFonts w:ascii="Cambria Math" w:hAnsi="Cambria Math"/>
              </w:rPr>
              <m:t xml:space="preserve">k</m:t>
            </m:r>
          </m:e>
          <m:sub>
            <m:r>
              <w:rPr>
                <w:rFonts w:ascii="Cambria Math" w:hAnsi="Cambria Math"/>
              </w:rPr>
              <m:t xml:space="preserve">И</m:t>
            </m:r>
          </m:sub>
        </m:sSub>
      </m:oMath>
      <w:r>
        <w:rPr>
          <w:sz w:val="24"/>
          <w:szCs w:val="24"/>
        </w:rPr>
        <w:t xml:space="preserve">Данные о параметрах готовности генерирующего оборудования (ГРМ), а также информация о фактической нагрузке по данным СОТИАССО на конец каждого часа отчетного месяца по ГТП, сформированные Системным Оператором  соответствии с п. 6.  «Технических требований к генерирующему оборудованию участников оптового рынка», п. 5. «Порядка установления соответствия генерирующего оборудования участников оптового рынка техническим требованиям» и пп. 3.4. Регламента определения объемов фактически поставленной на оптовый рынок мощности (приложение № 13 к Договору о присоединении к торговой системе оптового рынка)» регистрируется значения снижения мощности: </w:t>
      </w:r>
    </w:p>
    <w:p>
      <w:pPr>
        <w:pStyle w:val="Normal"/>
        <w:spacing w:before="20" w:after="20"/>
        <w:ind w:firstLine="709"/>
        <w:rPr>
          <w:sz w:val="24"/>
          <w:szCs w:val="24"/>
        </w:rPr>
      </w:pPr>
      <w:r>
        <w:rPr/>
      </w:r>
      <m:oMath xmlns:m="http://schemas.openxmlformats.org/officeDocument/2006/math">
        <m:sSup>
          <m:e>
            <m:r>
              <w:rPr>
                <w:rFonts w:ascii="Cambria Math" w:hAnsi="Cambria Math"/>
              </w:rPr>
              <m:t xml:space="preserve">Δ</m:t>
            </m:r>
          </m:e>
          <m:sup>
            <m:sSubSup>
              <m:e>
                <m:r>
                  <w:rPr>
                    <w:rFonts w:ascii="Cambria Math" w:hAnsi="Cambria Math"/>
                  </w:rPr>
                  <m:t xml:space="preserve">j</m:t>
                </m:r>
              </m:e>
              <m:sub>
                <m:r>
                  <w:rPr>
                    <w:rFonts w:ascii="Cambria Math" w:hAnsi="Cambria Math"/>
                  </w:rPr>
                  <m:t xml:space="preserve">0</m:t>
                </m:r>
                <m:r>
                  <m:rPr>
                    <m:lit/>
                    <m:nor/>
                  </m:rPr>
                  <w:rPr>
                    <w:rFonts w:ascii="Cambria Math" w:hAnsi="Cambria Math"/>
                  </w:rPr>
                  <m:t xml:space="preserve">,m</m:t>
                </m:r>
              </m:sub>
              <m:sup>
                <m:r>
                  <w:rPr>
                    <w:rFonts w:ascii="Cambria Math" w:hAnsi="Cambria Math"/>
                  </w:rPr>
                  <m:t xml:space="preserve">1</m:t>
                </m:r>
              </m:sup>
            </m:sSubSup>
          </m:sup>
        </m:sSup>
      </m:oMath>
      <w:r>
        <w:rPr>
          <w:sz w:val="24"/>
          <w:szCs w:val="24"/>
        </w:rPr>
        <w:t xml:space="preserve"> – </w:t>
      </w:r>
      <w:r>
        <w:rPr>
          <w:sz w:val="24"/>
          <w:szCs w:val="24"/>
        </w:rPr>
        <w:t xml:space="preserve">величина согласованных ограничений установленной мощности в пределах, заявленных по процедуре конкурентного отбора мощности (КОМ); </w:t>
      </w:r>
    </w:p>
    <w:p>
      <w:pPr>
        <w:pStyle w:val="Normal"/>
        <w:spacing w:lineRule="auto" w:line="276" w:before="120" w:after="20"/>
        <w:ind w:firstLine="709"/>
        <w:jc w:val="both"/>
        <w:rPr>
          <w:sz w:val="24"/>
          <w:szCs w:val="24"/>
        </w:rPr>
      </w:pPr>
      <w:r>
        <w:rPr/>
      </w:r>
      <m:oMath xmlns:m="http://schemas.openxmlformats.org/officeDocument/2006/math">
        <m:sSup>
          <m:e>
            <m:r>
              <w:rPr>
                <w:rFonts w:ascii="Cambria Math" w:hAnsi="Cambria Math"/>
              </w:rPr>
              <m:t xml:space="preserve">Δ</m:t>
            </m:r>
          </m:e>
          <m:sup>
            <m:sSubSup>
              <m:e>
                <m:r>
                  <w:rPr>
                    <w:rFonts w:ascii="Cambria Math" w:hAnsi="Cambria Math"/>
                  </w:rPr>
                  <m:t xml:space="preserve">j</m:t>
                </m:r>
              </m:e>
              <m:sub>
                <m:r>
                  <w:rPr>
                    <w:rFonts w:ascii="Cambria Math" w:hAnsi="Cambria Math"/>
                  </w:rPr>
                  <m:t xml:space="preserve">0</m:t>
                </m:r>
                <m:r>
                  <m:rPr>
                    <m:lit/>
                    <m:nor/>
                  </m:rPr>
                  <w:rPr>
                    <w:rFonts w:ascii="Cambria Math" w:hAnsi="Cambria Math"/>
                  </w:rPr>
                  <m:t xml:space="preserve">,m</m:t>
                </m:r>
              </m:sub>
              <m:sup>
                <m:r>
                  <w:rPr>
                    <w:rFonts w:ascii="Cambria Math" w:hAnsi="Cambria Math"/>
                  </w:rPr>
                  <m:t xml:space="preserve">2</m:t>
                </m:r>
              </m:sup>
            </m:sSubSup>
          </m:sup>
        </m:sSup>
      </m:oMath>
      <w:r>
        <w:rPr>
          <w:sz w:val="24"/>
          <w:szCs w:val="24"/>
        </w:rPr>
        <w:t xml:space="preserve"> – </w:t>
      </w:r>
      <w:r>
        <w:rPr>
          <w:sz w:val="24"/>
          <w:szCs w:val="24"/>
        </w:rPr>
        <w:t>величина согласованных ограничений установленной мощности сверх, заявленных в КОМ;</w:t>
      </w:r>
    </w:p>
    <w:p>
      <w:pPr>
        <w:pStyle w:val="Normal"/>
        <w:spacing w:lineRule="auto" w:line="276" w:before="20" w:after="20"/>
        <w:ind w:firstLine="709"/>
        <w:jc w:val="both"/>
        <w:rPr>
          <w:sz w:val="24"/>
          <w:szCs w:val="24"/>
        </w:rPr>
      </w:pPr>
      <w:r>
        <w:rPr/>
        <w:drawing>
          <wp:inline distT="0" distB="0" distL="0" distR="0">
            <wp:extent cx="323850" cy="219075"/>
            <wp:effectExtent l="0" t="0" r="0" b="0"/>
            <wp:docPr id="1" name="Изображение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2" descr=""/>
                    <pic:cNvPicPr>
                      <a:picLocks noChangeAspect="1" noChangeArrowheads="1"/>
                    </pic:cNvPicPr>
                  </pic:nvPicPr>
                  <pic:blipFill>
                    <a:blip r:embed="rId6"/>
                    <a:srcRect l="-222" t="-329" r="-222" b="-329"/>
                    <a:stretch>
                      <a:fillRect/>
                    </a:stretch>
                  </pic:blipFill>
                  <pic:spPr bwMode="auto">
                    <a:xfrm>
                      <a:off x="0" y="0"/>
                      <a:ext cx="323850" cy="219075"/>
                    </a:xfrm>
                    <a:prstGeom prst="rect">
                      <a:avLst/>
                    </a:prstGeom>
                  </pic:spPr>
                </pic:pic>
              </a:graphicData>
            </a:graphic>
          </wp:inline>
        </w:drawing>
      </w:r>
      <w:r>
        <w:rPr>
          <w:sz w:val="24"/>
          <w:szCs w:val="24"/>
        </w:rPr>
        <w:t xml:space="preserve"> – </w:t>
      </w:r>
      <w:r>
        <w:rPr>
          <w:sz w:val="24"/>
          <w:szCs w:val="24"/>
        </w:rPr>
        <w:t>величина согласованного планового ремонтного снижения мощности;</w:t>
      </w:r>
    </w:p>
    <w:p>
      <w:pPr>
        <w:pStyle w:val="Normal"/>
        <w:spacing w:lineRule="auto" w:line="276" w:before="20" w:after="20"/>
        <w:ind w:firstLine="709"/>
        <w:jc w:val="both"/>
        <w:rPr>
          <w:sz w:val="24"/>
          <w:szCs w:val="24"/>
        </w:rPr>
      </w:pPr>
      <w:r>
        <w:rPr/>
      </w:r>
      <m:oMath xmlns:m="http://schemas.openxmlformats.org/officeDocument/2006/math">
        <m:sSubSup>
          <m:e>
            <m:r>
              <w:rPr>
                <w:rFonts w:ascii="Cambria Math" w:hAnsi="Cambria Math"/>
              </w:rPr>
              <m:t xml:space="preserve">Δ</m:t>
            </m:r>
          </m:e>
          <m:sub>
            <m:r>
              <w:rPr>
                <w:rFonts w:ascii="Cambria Math" w:hAnsi="Cambria Math"/>
              </w:rPr>
              <m:t xml:space="preserve">1</m:t>
            </m:r>
            <m:r>
              <m:rPr>
                <m:lit/>
                <m:nor/>
              </m:rPr>
              <w:rPr>
                <w:rFonts w:ascii="Cambria Math" w:hAnsi="Cambria Math"/>
              </w:rPr>
              <m:t xml:space="preserve">.</m:t>
            </m:r>
            <m:r>
              <w:rPr>
                <w:rFonts w:ascii="Cambria Math" w:hAnsi="Cambria Math"/>
              </w:rPr>
              <m:t xml:space="preserve">1</m:t>
            </m:r>
            <m:r>
              <m:rPr>
                <m:lit/>
                <m:nor/>
              </m:rPr>
              <w:rPr>
                <w:rFonts w:ascii="Cambria Math" w:hAnsi="Cambria Math"/>
              </w:rPr>
              <m:t xml:space="preserve">,h</m:t>
            </m:r>
          </m:sub>
          <m:sup>
            <m:r>
              <w:rPr>
                <w:rFonts w:ascii="Cambria Math" w:hAnsi="Cambria Math"/>
              </w:rPr>
              <m:t xml:space="preserve">j</m:t>
            </m:r>
          </m:sup>
        </m:sSubSup>
      </m:oMath>
      <w:r>
        <w:rPr>
          <w:sz w:val="24"/>
          <w:szCs w:val="24"/>
        </w:rPr>
        <w:t xml:space="preserve"> – </w:t>
      </w:r>
      <w:r>
        <w:rPr>
          <w:sz w:val="24"/>
          <w:szCs w:val="24"/>
        </w:rPr>
        <w:t>плановое ремонтное снижение мощности, обусловленное проведением ремонта длительностью более 180 (сто восьмидесяти) суток для ТЭС в год;</w:t>
      </w:r>
    </w:p>
    <w:p>
      <w:pPr>
        <w:pStyle w:val="Normal"/>
        <w:spacing w:lineRule="auto" w:line="276" w:before="20" w:after="20"/>
        <w:ind w:firstLine="709"/>
        <w:jc w:val="both"/>
        <w:rPr>
          <w:sz w:val="24"/>
          <w:szCs w:val="24"/>
        </w:rPr>
      </w:pPr>
      <w:r>
        <w:rPr>
          <w:sz w:val="24"/>
          <w:szCs w:val="24"/>
        </w:rPr>
        <w:t xml:space="preserve"> – </w:t>
      </w:r>
      <w:r>
        <w:rPr>
          <w:sz w:val="24"/>
          <w:szCs w:val="24"/>
        </w:rPr>
        <w:t>итоговое значение согласованного планового ремонтного снижения располагаемой мощности;</w:t>
      </w:r>
    </w:p>
    <w:p>
      <w:pPr>
        <w:pStyle w:val="Normal"/>
        <w:spacing w:lineRule="auto" w:line="276" w:before="20" w:after="20"/>
        <w:ind w:firstLine="709"/>
        <w:jc w:val="both"/>
        <w:rPr>
          <w:sz w:val="24"/>
          <w:szCs w:val="24"/>
        </w:rPr>
      </w:pPr>
      <w:r>
        <w:rPr>
          <w:sz w:val="24"/>
          <w:szCs w:val="24"/>
        </w:rPr>
        <w:t xml:space="preserve"> </w:t>
      </w:r>
      <w:r>
        <w:rPr/>
      </w:r>
      <m:oMath xmlns:m="http://schemas.openxmlformats.org/officeDocument/2006/math">
        <m:sSubSup>
          <m:e>
            <m:r>
              <w:rPr>
                <w:rFonts w:ascii="Cambria Math" w:hAnsi="Cambria Math"/>
              </w:rPr>
              <m:t xml:space="preserve">∆</m:t>
            </m:r>
          </m:e>
          <m:sub>
            <m:r>
              <w:rPr>
                <w:rFonts w:ascii="Cambria Math" w:hAnsi="Cambria Math"/>
              </w:rPr>
              <m:t xml:space="preserve">1</m:t>
            </m:r>
            <m:r>
              <m:rPr>
                <m:lit/>
                <m:nor/>
              </m:rPr>
              <w:rPr>
                <w:rFonts w:ascii="Cambria Math" w:hAnsi="Cambria Math"/>
              </w:rPr>
              <m:t xml:space="preserve">.</m:t>
            </m:r>
            <m:r>
              <w:rPr>
                <w:rFonts w:ascii="Cambria Math" w:hAnsi="Cambria Math"/>
              </w:rPr>
              <m:t xml:space="preserve">4</m:t>
            </m:r>
            <m:r>
              <m:rPr>
                <m:lit/>
                <m:nor/>
              </m:rPr>
              <w:rPr>
                <w:rFonts w:ascii="Cambria Math" w:hAnsi="Cambria Math"/>
              </w:rPr>
              <m:t xml:space="preserve">,h</m:t>
            </m:r>
          </m:sub>
          <m:sup>
            <m:r>
              <w:rPr>
                <w:rFonts w:ascii="Cambria Math" w:hAnsi="Cambria Math"/>
              </w:rPr>
              <m:t xml:space="preserve">j</m:t>
            </m:r>
          </m:sup>
        </m:sSubSup>
      </m:oMath>
      <w:r>
        <w:rPr>
          <w:sz w:val="24"/>
          <w:szCs w:val="24"/>
        </w:rPr>
        <w:t xml:space="preserve"> – </w:t>
      </w:r>
      <w:r>
        <w:rPr>
          <w:sz w:val="24"/>
          <w:szCs w:val="24"/>
        </w:rPr>
        <w:t>плановое ремонтное снижение мощности по модернизируемым генерирующим объектом вне установленных сроков;</w:t>
      </w:r>
    </w:p>
    <w:p>
      <w:pPr>
        <w:pStyle w:val="Normal"/>
        <w:spacing w:lineRule="auto" w:line="276" w:before="20" w:after="20"/>
        <w:ind w:firstLine="709"/>
        <w:jc w:val="both"/>
        <w:rPr>
          <w:sz w:val="24"/>
          <w:szCs w:val="24"/>
        </w:rPr>
      </w:pPr>
      <w:r>
        <w:rPr/>
        <w:drawing>
          <wp:inline distT="0" distB="0" distL="0" distR="0">
            <wp:extent cx="545465" cy="273050"/>
            <wp:effectExtent l="0" t="0" r="0" b="0"/>
            <wp:docPr id="2" name="Изображение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3" descr=""/>
                    <pic:cNvPicPr>
                      <a:picLocks noChangeAspect="1" noChangeArrowheads="1"/>
                    </pic:cNvPicPr>
                  </pic:nvPicPr>
                  <pic:blipFill>
                    <a:blip r:embed="rId7"/>
                    <a:stretch>
                      <a:fillRect/>
                    </a:stretch>
                  </pic:blipFill>
                  <pic:spPr bwMode="auto">
                    <a:xfrm>
                      <a:off x="0" y="0"/>
                      <a:ext cx="545465" cy="273050"/>
                    </a:xfrm>
                    <a:prstGeom prst="rect">
                      <a:avLst/>
                    </a:prstGeom>
                  </pic:spPr>
                </pic:pic>
              </a:graphicData>
            </a:graphic>
          </wp:inline>
        </w:drawing>
      </w:r>
      <w:r>
        <w:rPr>
          <w:sz w:val="24"/>
          <w:szCs w:val="24"/>
        </w:rPr>
        <w:t xml:space="preserve"> – </w:t>
      </w:r>
      <w:r>
        <w:rPr>
          <w:sz w:val="24"/>
          <w:szCs w:val="24"/>
        </w:rPr>
        <w:t>снижение максимальной мощности, связанное с ремонтом основного или вспомогательного оборудования, рассчитанное на основании заявленного участником оптового рынка значения, поданного в уведомлении о составе и параметрах оборудования для входящей в состав Дальневосточного федерального округа отдельной территории, ранее относившейся к неценовым зонам, – до 3 часов 00 минут московского времени (10 часов 00 минут хабаровского времени) суток Х-2), для часов с порядковыми номерами от 120;</w:t>
      </w:r>
    </w:p>
    <w:p>
      <w:pPr>
        <w:pStyle w:val="Normal"/>
        <w:spacing w:lineRule="auto" w:line="276" w:before="20" w:after="20"/>
        <w:ind w:firstLine="709"/>
        <w:jc w:val="both"/>
        <w:rPr>
          <w:sz w:val="24"/>
          <w:szCs w:val="24"/>
        </w:rPr>
      </w:pPr>
      <w:r>
        <w:rPr/>
        <w:drawing>
          <wp:inline distT="0" distB="0" distL="0" distR="0">
            <wp:extent cx="524510" cy="266065"/>
            <wp:effectExtent l="0" t="0" r="0" b="0"/>
            <wp:docPr id="3" name="Изображение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4" descr=""/>
                    <pic:cNvPicPr>
                      <a:picLocks noChangeAspect="1" noChangeArrowheads="1"/>
                    </pic:cNvPicPr>
                  </pic:nvPicPr>
                  <pic:blipFill>
                    <a:blip r:embed="rId8"/>
                    <a:stretch>
                      <a:fillRect/>
                    </a:stretch>
                  </pic:blipFill>
                  <pic:spPr bwMode="auto">
                    <a:xfrm>
                      <a:off x="0" y="0"/>
                      <a:ext cx="524510" cy="266065"/>
                    </a:xfrm>
                    <a:prstGeom prst="rect">
                      <a:avLst/>
                    </a:prstGeom>
                  </pic:spPr>
                </pic:pic>
              </a:graphicData>
            </a:graphic>
          </wp:inline>
        </w:drawing>
      </w:r>
      <w:r>
        <w:rPr>
          <w:sz w:val="24"/>
          <w:szCs w:val="24"/>
        </w:rPr>
        <w:t xml:space="preserve"> – </w:t>
      </w:r>
      <w:r>
        <w:rPr>
          <w:sz w:val="24"/>
          <w:szCs w:val="24"/>
        </w:rPr>
        <w:t>заявленное в уведомлении о составе и параметрах оборудования, поданного для входящей в состав Дальневосточного федерального округа отдельной территории, ранее относившейся к неценовым зонам, – до 3 часов 00 минут московского времени (10 часов 00 минут хабаровского времени) суток Х-2), приращение минимальной мощности включенного блочного генерирующего оборудования, связанное с ремонтом основного или вспомогательного оборудования, рассчитанное на основании заявленного участником оптового рынка минимума;</w:t>
      </w:r>
    </w:p>
    <w:p>
      <w:pPr>
        <w:pStyle w:val="Normal"/>
        <w:spacing w:lineRule="auto" w:line="276" w:before="20" w:after="20"/>
        <w:ind w:firstLine="709"/>
        <w:jc w:val="both"/>
        <w:rPr>
          <w:sz w:val="24"/>
          <w:szCs w:val="24"/>
        </w:rPr>
      </w:pPr>
      <w:r>
        <w:rPr/>
      </w:r>
      <m:oMath xmlns:m="http://schemas.openxmlformats.org/officeDocument/2006/math">
        <m:sSup>
          <m:e>
            <m:r>
              <w:rPr>
                <w:rFonts w:ascii="Cambria Math" w:hAnsi="Cambria Math"/>
              </w:rPr>
              <m:t xml:space="preserve">Δ</m:t>
            </m:r>
          </m:e>
          <m:sup>
            <m:sSubSup>
              <m:e>
                <m:r>
                  <w:rPr>
                    <w:rFonts w:ascii="Cambria Math" w:hAnsi="Cambria Math"/>
                  </w:rPr>
                  <m:t xml:space="preserve">j</m:t>
                </m:r>
              </m:e>
              <m:sub>
                <m:r>
                  <m:rPr>
                    <m:lit/>
                    <m:nor/>
                  </m:rPr>
                  <w:rPr>
                    <w:rFonts w:ascii="Cambria Math" w:hAnsi="Cambria Math"/>
                  </w:rPr>
                  <m:t xml:space="preserve">2_max,</m:t>
                </m:r>
                <m:r>
                  <w:rPr>
                    <w:rFonts w:ascii="Cambria Math" w:hAnsi="Cambria Math"/>
                  </w:rPr>
                  <m:t xml:space="preserve">h</m:t>
                </m:r>
              </m:sub>
              <m:sup>
                <m:r>
                  <w:rPr>
                    <w:rFonts w:ascii="Cambria Math" w:hAnsi="Cambria Math"/>
                  </w:rPr>
                  <m:t xml:space="preserve">1</m:t>
                </m:r>
                <m:d>
                  <m:dPr>
                    <m:begChr m:val="("/>
                    <m:endChr m:val=")"/>
                  </m:dPr>
                  <m:e>
                    <m:r>
                      <m:rPr>
                        <m:lit/>
                        <m:nor/>
                      </m:rPr>
                      <w:rPr>
                        <w:rFonts w:ascii="Cambria Math" w:hAnsi="Cambria Math"/>
                      </w:rPr>
                      <m:t xml:space="preserve">120</m:t>
                    </m:r>
                  </m:e>
                </m:d>
              </m:sup>
            </m:sSubSup>
          </m:sup>
        </m:sSup>
      </m:oMath>
      <w:r>
        <w:rPr>
          <w:sz w:val="24"/>
          <w:szCs w:val="24"/>
        </w:rPr>
        <w:t xml:space="preserve"> – </w:t>
      </w:r>
      <w:r>
        <w:rPr>
          <w:sz w:val="24"/>
          <w:szCs w:val="24"/>
        </w:rPr>
        <w:t>итоговое значение снижения максимальной мощности ГТП генерации рассчитанное на основании заявленного участником оптового рынка значения, поданного в уведомлении о составе и параметрах оборудования для входящей в состав Дальневосточного федерального округа отдельной территории, ранее относившейся к неценовым зонам, – до 3 часов 00 минут московского времени (10 часов 00 минут хабаровского времени) суток Х-2) в уведомлении о составе и параметрах оборудования, поданном в отношении суток Х+2 (уведомление ВСВГО), для часов с порядковыми номерами от 1 до 120;</w:t>
      </w:r>
    </w:p>
    <w:p>
      <w:pPr>
        <w:pStyle w:val="Normal"/>
        <w:spacing w:lineRule="auto" w:line="276" w:before="20" w:after="20"/>
        <w:ind w:firstLine="709"/>
        <w:jc w:val="both"/>
        <w:rPr>
          <w:sz w:val="24"/>
          <w:szCs w:val="24"/>
        </w:rPr>
      </w:pPr>
      <w:r>
        <w:rPr/>
        <w:drawing>
          <wp:inline distT="0" distB="0" distL="0" distR="0">
            <wp:extent cx="532130" cy="272415"/>
            <wp:effectExtent l="0" t="0" r="0" b="0"/>
            <wp:docPr id="4" name="Изображение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Изображение5" descr=""/>
                    <pic:cNvPicPr>
                      <a:picLocks noChangeAspect="1" noChangeArrowheads="1"/>
                    </pic:cNvPicPr>
                  </pic:nvPicPr>
                  <pic:blipFill>
                    <a:blip r:embed="rId9"/>
                    <a:stretch>
                      <a:fillRect/>
                    </a:stretch>
                  </pic:blipFill>
                  <pic:spPr bwMode="auto">
                    <a:xfrm>
                      <a:off x="0" y="0"/>
                      <a:ext cx="532130" cy="272415"/>
                    </a:xfrm>
                    <a:prstGeom prst="rect">
                      <a:avLst/>
                    </a:prstGeom>
                  </pic:spPr>
                </pic:pic>
              </a:graphicData>
            </a:graphic>
          </wp:inline>
        </w:drawing>
      </w:r>
      <w:r>
        <w:rPr>
          <w:sz w:val="24"/>
          <w:szCs w:val="24"/>
        </w:rPr>
        <w:t xml:space="preserve"> – </w:t>
      </w:r>
      <w:r>
        <w:rPr>
          <w:sz w:val="24"/>
          <w:szCs w:val="24"/>
        </w:rPr>
        <w:t xml:space="preserve">снижение мощности ГТП генерации фиксируемое на основании данных, заявляемых участником ОРЭ для входящей в состав Дальневосточного федерального округа отдельной территории, ранее относившейся к неценовым зонам, – до 3 часов 00 минут московского времени (10 часов 00 минут хабаровского времени) суток Х-1) (уведомлениях РСВ) в уведомлении о составе и параметрах оборудования и разрешенных внеплановых заявках на снижение максимальной мощности; </w:t>
      </w:r>
    </w:p>
    <w:p>
      <w:pPr>
        <w:pStyle w:val="Normal"/>
        <w:spacing w:lineRule="auto" w:line="276" w:before="20" w:after="20"/>
        <w:ind w:firstLine="709"/>
        <w:jc w:val="both"/>
        <w:rPr>
          <w:sz w:val="24"/>
          <w:szCs w:val="24"/>
        </w:rPr>
      </w:pPr>
      <w:r>
        <w:rPr/>
        <w:drawing>
          <wp:inline distT="0" distB="0" distL="0" distR="0">
            <wp:extent cx="526415" cy="262890"/>
            <wp:effectExtent l="0" t="0" r="0" b="0"/>
            <wp:docPr id="5" name="Изображение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Изображение6" descr=""/>
                    <pic:cNvPicPr>
                      <a:picLocks noChangeAspect="1" noChangeArrowheads="1"/>
                    </pic:cNvPicPr>
                  </pic:nvPicPr>
                  <pic:blipFill>
                    <a:blip r:embed="rId10"/>
                    <a:stretch>
                      <a:fillRect/>
                    </a:stretch>
                  </pic:blipFill>
                  <pic:spPr bwMode="auto">
                    <a:xfrm>
                      <a:off x="0" y="0"/>
                      <a:ext cx="526415" cy="262890"/>
                    </a:xfrm>
                    <a:prstGeom prst="rect">
                      <a:avLst/>
                    </a:prstGeom>
                  </pic:spPr>
                </pic:pic>
              </a:graphicData>
            </a:graphic>
          </wp:inline>
        </w:drawing>
      </w:r>
      <w:r>
        <w:rPr>
          <w:sz w:val="24"/>
          <w:szCs w:val="24"/>
        </w:rPr>
        <w:t xml:space="preserve"> – </w:t>
      </w:r>
      <w:r>
        <w:rPr>
          <w:sz w:val="24"/>
          <w:szCs w:val="24"/>
        </w:rPr>
        <w:t>приращение минимальной мощности включенного блочного генерирующего оборудования по разрешенной неплановой или неотложной диспетчерской заявке, определенное как увеличение технологического минимума, заявленного участником оптового рынка в период для входящей в состав Дальневосточного федерального округа отдельной территории, ранее относившейся к неценовым зонам, – до 3 часов 00 минут московского времени (10 часов 00 минут хабаровского времени) суток Х-1), относительно планового технологического минимума, согласованного СО в отношении включенного блочного генерирующего оборудования, заявленного участником оптового рынка в работу в уведомлении о составе и параметрах генерирующего оборудования;</w:t>
      </w:r>
    </w:p>
    <w:p>
      <w:pPr>
        <w:pStyle w:val="Normal"/>
        <w:spacing w:lineRule="auto" w:line="276" w:before="20" w:after="20"/>
        <w:ind w:firstLine="709"/>
        <w:jc w:val="both"/>
        <w:rPr>
          <w:sz w:val="24"/>
          <w:szCs w:val="24"/>
        </w:rPr>
      </w:pPr>
      <w:r>
        <w:rPr/>
        <w:drawing>
          <wp:inline distT="0" distB="0" distL="0" distR="0">
            <wp:extent cx="620395" cy="320040"/>
            <wp:effectExtent l="0" t="0" r="0" b="0"/>
            <wp:docPr id="6" name="Изображение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Изображение7" descr=""/>
                    <pic:cNvPicPr>
                      <a:picLocks noChangeAspect="1" noChangeArrowheads="1"/>
                    </pic:cNvPicPr>
                  </pic:nvPicPr>
                  <pic:blipFill>
                    <a:blip r:embed="rId11"/>
                    <a:stretch>
                      <a:fillRect/>
                    </a:stretch>
                  </pic:blipFill>
                  <pic:spPr bwMode="auto">
                    <a:xfrm>
                      <a:off x="0" y="0"/>
                      <a:ext cx="620395" cy="320040"/>
                    </a:xfrm>
                    <a:prstGeom prst="rect">
                      <a:avLst/>
                    </a:prstGeom>
                  </pic:spPr>
                </pic:pic>
              </a:graphicData>
            </a:graphic>
          </wp:inline>
        </w:drawing>
      </w:r>
      <w:r>
        <w:rPr>
          <w:sz w:val="24"/>
          <w:szCs w:val="24"/>
        </w:rPr>
        <w:t xml:space="preserve"> – </w:t>
      </w:r>
      <w:r>
        <w:rPr>
          <w:sz w:val="24"/>
          <w:szCs w:val="24"/>
        </w:rPr>
        <w:t>снижение максимальной мощности ГТПГ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для входящей в состав Дальневосточного федерального округа отдельной территории, ранее относившейся к неценовым зонам, – с 3 часов 00 минут московского времени (10 часов 00 минут хабаровского времени) суток Х-1), до часа (n-4) суток Х;</w:t>
      </w:r>
    </w:p>
    <w:p>
      <w:pPr>
        <w:pStyle w:val="Normal"/>
        <w:spacing w:lineRule="auto" w:line="276" w:before="20" w:after="20"/>
        <w:ind w:firstLine="709"/>
        <w:jc w:val="both"/>
        <w:rPr>
          <w:sz w:val="24"/>
          <w:szCs w:val="24"/>
        </w:rPr>
      </w:pPr>
      <w:r>
        <w:rPr/>
        <w:drawing>
          <wp:inline distT="0" distB="0" distL="0" distR="0">
            <wp:extent cx="526415" cy="262890"/>
            <wp:effectExtent l="0" t="0" r="0" b="0"/>
            <wp:docPr id="7" name="Изображение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Изображение8" descr=""/>
                    <pic:cNvPicPr>
                      <a:picLocks noChangeAspect="1" noChangeArrowheads="1"/>
                    </pic:cNvPicPr>
                  </pic:nvPicPr>
                  <pic:blipFill>
                    <a:blip r:embed="rId12"/>
                    <a:stretch>
                      <a:fillRect/>
                    </a:stretch>
                  </pic:blipFill>
                  <pic:spPr bwMode="auto">
                    <a:xfrm>
                      <a:off x="0" y="0"/>
                      <a:ext cx="526415" cy="262890"/>
                    </a:xfrm>
                    <a:prstGeom prst="rect">
                      <a:avLst/>
                    </a:prstGeom>
                  </pic:spPr>
                </pic:pic>
              </a:graphicData>
            </a:graphic>
          </wp:inline>
        </w:drawing>
      </w:r>
      <w:r>
        <w:rPr>
          <w:sz w:val="24"/>
          <w:szCs w:val="24"/>
        </w:rPr>
        <w:t xml:space="preserve"> – </w:t>
      </w:r>
      <w:r>
        <w:rPr>
          <w:sz w:val="24"/>
          <w:szCs w:val="24"/>
        </w:rPr>
        <w:t>величина приращения минимальной мощности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для входящей в состав Дальневосточного федерального округа отдельной территории, ранее относившейся к неценовым зонам, – с 3 часов 00 минут московского времени (10 часов 00 минут хабаровского времени) суток Х-1), до часа (n-4) суток Х;</w:t>
      </w:r>
    </w:p>
    <w:p>
      <w:pPr>
        <w:pStyle w:val="Normal"/>
        <w:spacing w:lineRule="auto" w:line="276" w:before="20" w:after="20"/>
        <w:ind w:firstLine="709"/>
        <w:jc w:val="both"/>
        <w:rPr>
          <w:sz w:val="24"/>
          <w:szCs w:val="24"/>
        </w:rPr>
      </w:pPr>
      <w:r>
        <w:rPr/>
        <w:drawing>
          <wp:inline distT="0" distB="0" distL="0" distR="0">
            <wp:extent cx="511810" cy="241300"/>
            <wp:effectExtent l="0" t="0" r="0" b="0"/>
            <wp:docPr id="8" name="Изображение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Изображение9" descr=""/>
                    <pic:cNvPicPr>
                      <a:picLocks noChangeAspect="1" noChangeArrowheads="1"/>
                    </pic:cNvPicPr>
                  </pic:nvPicPr>
                  <pic:blipFill>
                    <a:blip r:embed="rId13"/>
                    <a:stretch>
                      <a:fillRect/>
                    </a:stretch>
                  </pic:blipFill>
                  <pic:spPr bwMode="auto">
                    <a:xfrm>
                      <a:off x="0" y="0"/>
                      <a:ext cx="511810" cy="241300"/>
                    </a:xfrm>
                    <a:prstGeom prst="rect">
                      <a:avLst/>
                    </a:prstGeom>
                  </pic:spPr>
                </pic:pic>
              </a:graphicData>
            </a:graphic>
          </wp:inline>
        </w:drawing>
      </w:r>
      <w:r>
        <w:rPr>
          <w:sz w:val="24"/>
          <w:szCs w:val="24"/>
        </w:rPr>
        <w:t xml:space="preserve"> – </w:t>
      </w:r>
      <w:r>
        <w:rPr>
          <w:sz w:val="24"/>
          <w:szCs w:val="24"/>
        </w:rPr>
        <w:t>снижение максимальной мощности, не связанное с отключением генерирующего оборудования, в соответствии с неотложной (аварийной) заявкой или оперативным уведомлением, поданным участником оптового рынка позже, чем за 4 (четырех) часа часов до часа фактической поставки;</w:t>
      </w:r>
    </w:p>
    <w:p>
      <w:pPr>
        <w:pStyle w:val="Normal"/>
        <w:spacing w:lineRule="auto" w:line="276" w:before="20" w:after="20"/>
        <w:ind w:firstLine="709"/>
        <w:jc w:val="both"/>
        <w:rPr>
          <w:sz w:val="24"/>
          <w:szCs w:val="24"/>
        </w:rPr>
      </w:pPr>
      <w:r>
        <w:rPr/>
        <w:drawing>
          <wp:inline distT="0" distB="0" distL="0" distR="0">
            <wp:extent cx="497205" cy="240665"/>
            <wp:effectExtent l="0" t="0" r="0" b="0"/>
            <wp:docPr id="9" name="Изображение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Изображение10" descr=""/>
                    <pic:cNvPicPr>
                      <a:picLocks noChangeAspect="1" noChangeArrowheads="1"/>
                    </pic:cNvPicPr>
                  </pic:nvPicPr>
                  <pic:blipFill>
                    <a:blip r:embed="rId14"/>
                    <a:stretch>
                      <a:fillRect/>
                    </a:stretch>
                  </pic:blipFill>
                  <pic:spPr bwMode="auto">
                    <a:xfrm>
                      <a:off x="0" y="0"/>
                      <a:ext cx="497205" cy="240665"/>
                    </a:xfrm>
                    <a:prstGeom prst="rect">
                      <a:avLst/>
                    </a:prstGeom>
                  </pic:spPr>
                </pic:pic>
              </a:graphicData>
            </a:graphic>
          </wp:inline>
        </w:drawing>
      </w:r>
      <w:r>
        <w:rPr>
          <w:sz w:val="24"/>
          <w:szCs w:val="24"/>
        </w:rPr>
        <w:t xml:space="preserve"> – </w:t>
      </w:r>
      <w:r>
        <w:rPr>
          <w:sz w:val="24"/>
          <w:szCs w:val="24"/>
        </w:rPr>
        <w:t>регистрируется при увеличении минимальной мощности включенного оборудования, заявленном участником оптового рынка позже 4 (четырех) часов до часа фактической поставки, либо при фактическом увеличении минимальной мощности включенного оборудования;</w:t>
      </w:r>
    </w:p>
    <w:p>
      <w:pPr>
        <w:pStyle w:val="Normal"/>
        <w:spacing w:lineRule="auto" w:line="276" w:before="20" w:after="20"/>
        <w:ind w:firstLine="709"/>
        <w:jc w:val="both"/>
        <w:rPr>
          <w:sz w:val="24"/>
          <w:szCs w:val="24"/>
        </w:rPr>
      </w:pPr>
      <w:r>
        <w:rPr/>
        <w:drawing>
          <wp:inline distT="0" distB="0" distL="0" distR="0">
            <wp:extent cx="914400" cy="285115"/>
            <wp:effectExtent l="0" t="0" r="0" b="0"/>
            <wp:docPr id="10" name="Изображение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Изображение11" descr=""/>
                    <pic:cNvPicPr>
                      <a:picLocks noChangeAspect="1" noChangeArrowheads="1"/>
                    </pic:cNvPicPr>
                  </pic:nvPicPr>
                  <pic:blipFill>
                    <a:blip r:embed="rId15"/>
                    <a:stretch>
                      <a:fillRect/>
                    </a:stretch>
                  </pic:blipFill>
                  <pic:spPr bwMode="auto">
                    <a:xfrm>
                      <a:off x="0" y="0"/>
                      <a:ext cx="914400" cy="285115"/>
                    </a:xfrm>
                    <a:prstGeom prst="rect">
                      <a:avLst/>
                    </a:prstGeom>
                  </pic:spPr>
                </pic:pic>
              </a:graphicData>
            </a:graphic>
          </wp:inline>
        </w:drawing>
      </w:r>
      <w:r>
        <w:rPr>
          <w:sz w:val="24"/>
          <w:szCs w:val="24"/>
        </w:rPr>
        <w:t xml:space="preserve"> – </w:t>
      </w:r>
      <w:r>
        <w:rPr>
          <w:sz w:val="24"/>
          <w:szCs w:val="24"/>
        </w:rPr>
        <w:t>снижении мощности вследствие вывода в ремонт оборудования по неотложной (аварийной) диспетчерской заявке или оперативному уведомлению, поданному участником оптового рынка позже 4 (четырех) часов до часа фактической поставки (между часом фактического отключения оборудования и часом регистрации заявки участника оптового рынка менее 4 (четырех), вне зависимости от выходных и нерабочих праздничных дней;</w:t>
      </w:r>
    </w:p>
    <w:p>
      <w:pPr>
        <w:pStyle w:val="Normal"/>
        <w:spacing w:lineRule="auto" w:line="276" w:before="20" w:after="20"/>
        <w:ind w:firstLine="709"/>
        <w:jc w:val="both"/>
        <w:rPr>
          <w:sz w:val="24"/>
          <w:szCs w:val="24"/>
        </w:rPr>
      </w:pPr>
      <w:r>
        <w:rPr/>
        <w:drawing>
          <wp:inline distT="0" distB="0" distL="0" distR="0">
            <wp:extent cx="1052830" cy="357505"/>
            <wp:effectExtent l="0" t="0" r="0" b="0"/>
            <wp:docPr id="11" name="Изображение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Изображение12" descr=""/>
                    <pic:cNvPicPr>
                      <a:picLocks noChangeAspect="1" noChangeArrowheads="1"/>
                    </pic:cNvPicPr>
                  </pic:nvPicPr>
                  <pic:blipFill>
                    <a:blip r:embed="rId16"/>
                    <a:stretch>
                      <a:fillRect/>
                    </a:stretch>
                  </pic:blipFill>
                  <pic:spPr bwMode="auto">
                    <a:xfrm>
                      <a:off x="0" y="0"/>
                      <a:ext cx="1052830" cy="357505"/>
                    </a:xfrm>
                    <a:prstGeom prst="rect">
                      <a:avLst/>
                    </a:prstGeom>
                  </pic:spPr>
                </pic:pic>
              </a:graphicData>
            </a:graphic>
          </wp:inline>
        </w:drawing>
      </w:r>
      <w:r>
        <w:rPr>
          <w:sz w:val="24"/>
          <w:szCs w:val="24"/>
        </w:rPr>
        <w:t xml:space="preserve"> – </w:t>
      </w:r>
      <w:r>
        <w:rPr>
          <w:sz w:val="24"/>
          <w:szCs w:val="24"/>
        </w:rPr>
        <w:t>регистрируется при согласованном увеличении времени включения в сеть;</w:t>
      </w:r>
    </w:p>
    <w:p>
      <w:pPr>
        <w:pStyle w:val="Normal"/>
        <w:spacing w:lineRule="auto" w:line="276" w:before="20" w:after="20"/>
        <w:ind w:firstLine="709"/>
        <w:jc w:val="both"/>
        <w:rPr>
          <w:sz w:val="24"/>
          <w:szCs w:val="24"/>
        </w:rPr>
      </w:pPr>
      <w:r>
        <w:rPr/>
        <w:drawing>
          <wp:inline distT="0" distB="0" distL="0" distR="0">
            <wp:extent cx="958215" cy="313690"/>
            <wp:effectExtent l="0" t="0" r="0" b="0"/>
            <wp:docPr id="12" name="Изображение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Изображение13" descr=""/>
                    <pic:cNvPicPr>
                      <a:picLocks noChangeAspect="1" noChangeArrowheads="1"/>
                    </pic:cNvPicPr>
                  </pic:nvPicPr>
                  <pic:blipFill>
                    <a:blip r:embed="rId17"/>
                    <a:stretch>
                      <a:fillRect/>
                    </a:stretch>
                  </pic:blipFill>
                  <pic:spPr bwMode="auto">
                    <a:xfrm>
                      <a:off x="0" y="0"/>
                      <a:ext cx="958215" cy="313690"/>
                    </a:xfrm>
                    <a:prstGeom prst="rect">
                      <a:avLst/>
                    </a:prstGeom>
                  </pic:spPr>
                </pic:pic>
              </a:graphicData>
            </a:graphic>
          </wp:inline>
        </w:drawing>
      </w:r>
      <w:r>
        <w:rPr>
          <w:sz w:val="24"/>
          <w:szCs w:val="24"/>
        </w:rPr>
        <w:t xml:space="preserve"> – </w:t>
      </w:r>
      <w:r>
        <w:rPr>
          <w:sz w:val="24"/>
          <w:szCs w:val="24"/>
        </w:rPr>
        <w:t>регистрируется при фактическом включении в сеть генерирующего оборудования со временем, превышающим время нормативного включения в сеть;</w:t>
      </w:r>
    </w:p>
    <w:p>
      <w:pPr>
        <w:pStyle w:val="Normal"/>
        <w:spacing w:before="20" w:after="20"/>
        <w:ind w:firstLine="709"/>
        <w:rPr>
          <w:sz w:val="24"/>
          <w:szCs w:val="24"/>
        </w:rPr>
      </w:pPr>
      <w:r>
        <w:rPr/>
        <w:drawing>
          <wp:inline distT="0" distB="0" distL="0" distR="0">
            <wp:extent cx="368300" cy="285750"/>
            <wp:effectExtent l="0" t="0" r="0" b="0"/>
            <wp:docPr id="13" name="Изображение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Изображение14" descr=""/>
                    <pic:cNvPicPr>
                      <a:picLocks noChangeAspect="1" noChangeArrowheads="1"/>
                    </pic:cNvPicPr>
                  </pic:nvPicPr>
                  <pic:blipFill>
                    <a:blip r:embed="rId18"/>
                    <a:stretch>
                      <a:fillRect/>
                    </a:stretch>
                  </pic:blipFill>
                  <pic:spPr bwMode="auto">
                    <a:xfrm>
                      <a:off x="0" y="0"/>
                      <a:ext cx="368300" cy="285750"/>
                    </a:xfrm>
                    <a:prstGeom prst="rect">
                      <a:avLst/>
                    </a:prstGeom>
                  </pic:spPr>
                </pic:pic>
              </a:graphicData>
            </a:graphic>
          </wp:inline>
        </w:drawing>
      </w:r>
      <w:r>
        <w:rPr>
          <w:sz w:val="24"/>
          <w:szCs w:val="24"/>
        </w:rPr>
        <w:t xml:space="preserve"> – </w:t>
      </w:r>
      <w:r>
        <w:rPr>
          <w:sz w:val="24"/>
          <w:szCs w:val="24"/>
        </w:rPr>
        <w:t>приведенная величина отклонения скорости изменения нагрузки генерирующего оборудования при неоднократном участии в суточном регулировании от номинальных значений.</w:t>
      </w:r>
    </w:p>
    <w:p>
      <w:pPr>
        <w:pStyle w:val="Normal"/>
        <w:spacing w:before="120" w:after="20"/>
        <w:ind w:firstLine="709"/>
        <w:rPr>
          <w:sz w:val="24"/>
          <w:szCs w:val="24"/>
        </w:rPr>
      </w:pPr>
      <w:r>
        <w:rPr>
          <w:sz w:val="24"/>
          <w:szCs w:val="24"/>
        </w:rPr>
        <w:t xml:space="preserve">Согласно п. 3.4.15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значения мощности </w:t>
      </w:r>
      <w:r>
        <w:rPr/>
        <w:drawing>
          <wp:inline distT="0" distB="0" distL="0" distR="0">
            <wp:extent cx="336550" cy="267335"/>
            <wp:effectExtent l="0" t="0" r="0" b="0"/>
            <wp:docPr id="14" name="Рисунок 13 Копия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Рисунок 13 Копия 1" descr=""/>
                    <pic:cNvPicPr>
                      <a:picLocks noChangeAspect="1" noChangeArrowheads="1"/>
                    </pic:cNvPicPr>
                  </pic:nvPicPr>
                  <pic:blipFill>
                    <a:blip r:embed="rId19"/>
                    <a:stretch>
                      <a:fillRect/>
                    </a:stretch>
                  </pic:blipFill>
                  <pic:spPr bwMode="auto">
                    <a:xfrm>
                      <a:off x="0" y="0"/>
                      <a:ext cx="336550" cy="267335"/>
                    </a:xfrm>
                    <a:prstGeom prst="rect">
                      <a:avLst/>
                    </a:prstGeom>
                  </pic:spPr>
                </pic:pic>
              </a:graphicData>
            </a:graphic>
          </wp:inline>
        </w:drawing>
      </w:r>
      <w:r>
        <w:rPr>
          <w:sz w:val="24"/>
          <w:szCs w:val="24"/>
        </w:rPr>
        <w:t>, соответствующие объемам невыполнения требований в месяце, определяется по формуле:</w:t>
      </w:r>
    </w:p>
    <w:p>
      <w:pPr>
        <w:pStyle w:val="Normal"/>
        <w:spacing w:before="20" w:after="20"/>
        <w:jc w:val="center"/>
        <w:rPr>
          <w:sz w:val="24"/>
          <w:szCs w:val="24"/>
        </w:rPr>
      </w:pPr>
      <w:r>
        <w:rPr/>
        <w:drawing>
          <wp:inline distT="0" distB="0" distL="0" distR="0">
            <wp:extent cx="1371600" cy="673100"/>
            <wp:effectExtent l="0" t="0" r="0" b="0"/>
            <wp:docPr id="15" name="Рисунок 12 Копия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12 Копия 1" descr=""/>
                    <pic:cNvPicPr>
                      <a:picLocks noChangeAspect="1" noChangeArrowheads="1"/>
                    </pic:cNvPicPr>
                  </pic:nvPicPr>
                  <pic:blipFill>
                    <a:blip r:embed="rId20"/>
                    <a:stretch>
                      <a:fillRect/>
                    </a:stretch>
                  </pic:blipFill>
                  <pic:spPr bwMode="auto">
                    <a:xfrm>
                      <a:off x="0" y="0"/>
                      <a:ext cx="1371600" cy="673100"/>
                    </a:xfrm>
                    <a:prstGeom prst="rect">
                      <a:avLst/>
                    </a:prstGeom>
                  </pic:spPr>
                </pic:pic>
              </a:graphicData>
            </a:graphic>
          </wp:inline>
        </w:drawing>
      </w:r>
    </w:p>
    <w:p>
      <w:pPr>
        <w:pStyle w:val="Normal"/>
        <w:spacing w:before="20" w:after="20"/>
        <w:ind w:firstLine="709"/>
        <w:rPr>
          <w:sz w:val="24"/>
          <w:szCs w:val="24"/>
        </w:rPr>
      </w:pPr>
      <w:r>
        <w:rPr>
          <w:sz w:val="24"/>
          <w:szCs w:val="24"/>
        </w:rPr>
        <w:t>где:</w:t>
      </w:r>
    </w:p>
    <w:p>
      <w:pPr>
        <w:pStyle w:val="Normal"/>
        <w:spacing w:before="20" w:after="20"/>
        <w:ind w:firstLine="709"/>
        <w:rPr>
          <w:sz w:val="24"/>
          <w:szCs w:val="24"/>
        </w:rPr>
      </w:pPr>
      <w:r>
        <w:rPr/>
        <w:drawing>
          <wp:inline distT="0" distB="0" distL="0" distR="0">
            <wp:extent cx="293370" cy="267335"/>
            <wp:effectExtent l="0" t="0" r="0" b="0"/>
            <wp:docPr id="16" name="Рисунок 11 Копия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 11 Копия 1" descr=""/>
                    <pic:cNvPicPr>
                      <a:picLocks noChangeAspect="1" noChangeArrowheads="1"/>
                    </pic:cNvPicPr>
                  </pic:nvPicPr>
                  <pic:blipFill>
                    <a:blip r:embed="rId21"/>
                    <a:stretch>
                      <a:fillRect/>
                    </a:stretch>
                  </pic:blipFill>
                  <pic:spPr bwMode="auto">
                    <a:xfrm>
                      <a:off x="0" y="0"/>
                      <a:ext cx="293370" cy="267335"/>
                    </a:xfrm>
                    <a:prstGeom prst="rect">
                      <a:avLst/>
                    </a:prstGeom>
                  </pic:spPr>
                </pic:pic>
              </a:graphicData>
            </a:graphic>
          </wp:inline>
        </w:drawing>
      </w:r>
      <w:r>
        <w:rPr>
          <w:sz w:val="24"/>
          <w:szCs w:val="24"/>
        </w:rPr>
        <w:t xml:space="preserve"> – </w:t>
      </w:r>
      <w:r>
        <w:rPr>
          <w:sz w:val="24"/>
          <w:szCs w:val="24"/>
        </w:rPr>
        <w:t>значения снижения мощности ГТПГ, установленные СО в ГРМ;</w:t>
      </w:r>
    </w:p>
    <w:p>
      <w:pPr>
        <w:pStyle w:val="Normal"/>
        <w:spacing w:before="20" w:after="20"/>
        <w:ind w:firstLine="709"/>
        <w:rPr>
          <w:sz w:val="24"/>
          <w:szCs w:val="24"/>
        </w:rPr>
      </w:pPr>
      <w:r>
        <w:rPr>
          <w:sz w:val="24"/>
          <w:szCs w:val="24"/>
        </w:rPr>
        <w:t xml:space="preserve">Н – количество часов, соответствующее расчетному месяцу m. </w:t>
      </w:r>
    </w:p>
    <w:p>
      <w:pPr>
        <w:pStyle w:val="Normal"/>
        <w:spacing w:before="20" w:after="20"/>
        <w:ind w:firstLine="709"/>
        <w:rPr>
          <w:sz w:val="24"/>
          <w:szCs w:val="24"/>
        </w:rPr>
      </w:pPr>
      <w:r>
        <w:rPr>
          <w:sz w:val="24"/>
          <w:szCs w:val="24"/>
        </w:rPr>
      </w:r>
    </w:p>
    <w:p>
      <w:pPr>
        <w:pStyle w:val="Normal"/>
        <w:spacing w:before="20" w:after="20"/>
        <w:ind w:firstLine="709"/>
        <w:rPr>
          <w:sz w:val="24"/>
          <w:szCs w:val="24"/>
        </w:rPr>
      </w:pPr>
      <w:r>
        <w:rPr>
          <w:sz w:val="24"/>
          <w:szCs w:val="24"/>
        </w:rPr>
        <w:t>В соответствии с Приложением 1 к «Регламенту определения объемов фактически поставленной на оптовый рынок мощности» (приложение 13 к Договору о присоединении к торговой системе оптового рынка) округление объема невыполнения требований в месяц в МВт (среднемесячного снижения) производится с точностью до трех знаков после запятой.</w:t>
      </w:r>
    </w:p>
    <w:p>
      <w:pPr>
        <w:pStyle w:val="Normal"/>
        <w:spacing w:before="120" w:after="20"/>
        <w:ind w:firstLine="709"/>
        <w:rPr>
          <w:sz w:val="24"/>
          <w:szCs w:val="24"/>
        </w:rPr>
      </w:pPr>
      <w:r>
        <w:rPr>
          <w:sz w:val="24"/>
          <w:szCs w:val="24"/>
        </w:rPr>
        <w:t>Согласно п. 5.4.2.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 объем недопоставки мощности, определяемый способностью к выработке электроэнергии генерирующего оборудования участника ОРЭ в расчетном месяц m, рассчитывается для каждой ГТП (единицы оборудования) по формуле:</w:t>
      </w:r>
    </w:p>
    <w:p>
      <w:pPr>
        <w:pStyle w:val="Normal"/>
        <w:spacing w:before="20" w:after="20"/>
        <w:ind w:firstLine="709"/>
        <w:rPr>
          <w:sz w:val="24"/>
          <w:szCs w:val="24"/>
        </w:rPr>
      </w:pPr>
      <w:r>
        <w:rPr>
          <w:sz w:val="24"/>
          <w:szCs w:val="24"/>
        </w:rPr>
      </w:r>
    </w:p>
    <w:p>
      <w:pPr>
        <w:pStyle w:val="Normal"/>
        <w:spacing w:before="20" w:after="20"/>
        <w:ind w:firstLine="709"/>
        <w:jc w:val="center"/>
        <w:rPr>
          <w:sz w:val="24"/>
          <w:szCs w:val="24"/>
        </w:rPr>
      </w:pPr>
      <w:r>
        <w:rPr/>
      </w:r>
      <m:oMathPara xmlns:m="http://schemas.openxmlformats.org/officeDocument/2006/math">
        <m:oMathParaPr>
          <m:jc m:val="center"/>
        </m:oMathParaPr>
        <m:oMath>
          <m:sSub>
            <m:e>
              <m:r>
                <w:rPr>
                  <w:rFonts w:ascii="Cambria Math" w:hAnsi="Cambria Math"/>
                </w:rPr>
                <m:t xml:space="preserve">k</m:t>
              </m:r>
            </m:e>
            <m:sub>
              <m:r>
                <w:rPr>
                  <w:rFonts w:ascii="Cambria Math" w:hAnsi="Cambria Math"/>
                </w:rPr>
                <m:t xml:space="preserve">Α</m:t>
              </m:r>
              <m:r>
                <w:rPr>
                  <w:rFonts w:ascii="Cambria Math" w:hAnsi="Cambria Math"/>
                </w:rPr>
                <m:t xml:space="preserve">2</m:t>
              </m:r>
            </m:sub>
          </m:sSub>
          <m:sSub>
            <m:e>
              <m:r>
                <w:rPr>
                  <w:rFonts w:ascii="Cambria Math" w:hAnsi="Cambria Math"/>
                </w:rPr>
                <m:t xml:space="preserve">k</m:t>
              </m:r>
            </m:e>
            <m:sub>
              <m:r>
                <w:rPr>
                  <w:rFonts w:ascii="Cambria Math" w:hAnsi="Cambria Math"/>
                </w:rPr>
                <m:t xml:space="preserve">Α</m:t>
              </m:r>
              <m:r>
                <w:rPr>
                  <w:rFonts w:ascii="Cambria Math" w:hAnsi="Cambria Math"/>
                </w:rPr>
                <m:t xml:space="preserve">3</m:t>
              </m:r>
            </m:sub>
          </m:sSub>
          <m:sSub>
            <m:e>
              <m:r>
                <w:rPr>
                  <w:rFonts w:ascii="Cambria Math" w:hAnsi="Cambria Math"/>
                </w:rPr>
                <m:t xml:space="preserve">k</m:t>
              </m:r>
            </m:e>
            <m:sub>
              <m:r>
                <m:rPr>
                  <m:lit/>
                  <m:nor/>
                </m:rPr>
                <w:rPr>
                  <w:rFonts w:ascii="Cambria Math" w:hAnsi="Cambria Math"/>
                </w:rPr>
                <m:t xml:space="preserve">Б1</m:t>
              </m:r>
            </m:sub>
          </m:sSub>
          <m:sSub>
            <m:e>
              <m:r>
                <w:rPr>
                  <w:rFonts w:ascii="Cambria Math" w:hAnsi="Cambria Math"/>
                </w:rPr>
                <m:t xml:space="preserve">k</m:t>
              </m:r>
            </m:e>
            <m:sub>
              <m:r>
                <m:rPr>
                  <m:lit/>
                  <m:nor/>
                </m:rPr>
                <w:rPr>
                  <w:rFonts w:ascii="Cambria Math" w:hAnsi="Cambria Math"/>
                </w:rPr>
                <m:t xml:space="preserve">Б2</m:t>
              </m:r>
            </m:sub>
          </m:sSub>
          <m:sSub>
            <m:e>
              <m:r>
                <w:rPr>
                  <w:rFonts w:ascii="Cambria Math" w:hAnsi="Cambria Math"/>
                </w:rPr>
                <m:t xml:space="preserve">k</m:t>
              </m:r>
            </m:e>
            <m:sub>
              <m:r>
                <m:rPr>
                  <m:lit/>
                  <m:nor/>
                </m:rPr>
                <w:rPr>
                  <w:rFonts w:ascii="Cambria Math" w:hAnsi="Cambria Math"/>
                </w:rPr>
                <m:t xml:space="preserve">В2</m:t>
              </m:r>
            </m:sub>
          </m:sSub>
          <m:sSub>
            <m:e>
              <m:r>
                <w:rPr>
                  <w:rFonts w:ascii="Cambria Math" w:hAnsi="Cambria Math"/>
                </w:rPr>
                <m:t xml:space="preserve">k</m:t>
              </m:r>
            </m:e>
            <m:sub>
              <m:r>
                <m:rPr>
                  <m:lit/>
                  <m:nor/>
                </m:rPr>
                <w:rPr>
                  <w:rFonts w:ascii="Cambria Math" w:hAnsi="Cambria Math"/>
                </w:rPr>
                <m:t xml:space="preserve">В3</m:t>
              </m:r>
            </m:sub>
          </m:sSub>
          <m:sSub>
            <m:e>
              <m:r>
                <w:rPr>
                  <w:rFonts w:ascii="Cambria Math" w:hAnsi="Cambria Math"/>
                </w:rPr>
                <m:t xml:space="preserve">k</m:t>
              </m:r>
            </m:e>
            <m:sub>
              <m:r>
                <m:rPr>
                  <m:lit/>
                  <m:nor/>
                </m:rPr>
                <w:rPr>
                  <w:rFonts w:ascii="Cambria Math" w:hAnsi="Cambria Math"/>
                </w:rPr>
                <m:t xml:space="preserve">Г1</m:t>
              </m:r>
            </m:sub>
          </m:sSub>
          <m:sSub>
            <m:e>
              <m:r>
                <w:rPr>
                  <w:rFonts w:ascii="Cambria Math" w:hAnsi="Cambria Math"/>
                </w:rPr>
                <m:t xml:space="preserve">k</m:t>
              </m:r>
            </m:e>
            <m:sub>
              <m:r>
                <m:rPr>
                  <m:lit/>
                  <m:nor/>
                </m:rPr>
                <w:rPr>
                  <w:rFonts w:ascii="Cambria Math" w:hAnsi="Cambria Math"/>
                </w:rPr>
                <m:t xml:space="preserve">Г2</m:t>
              </m:r>
            </m:sub>
          </m:sSub>
          <m:sSub>
            <m:e>
              <m:r>
                <w:rPr>
                  <w:rFonts w:ascii="Cambria Math" w:hAnsi="Cambria Math"/>
                </w:rPr>
                <m:t xml:space="preserve">k</m:t>
              </m:r>
            </m:e>
            <m:sub>
              <m:r>
                <m:rPr>
                  <m:lit/>
                  <m:nor/>
                </m:rPr>
                <w:rPr>
                  <w:rFonts w:ascii="Cambria Math" w:hAnsi="Cambria Math"/>
                </w:rPr>
                <m:t xml:space="preserve">Г3</m:t>
              </m:r>
            </m:sub>
          </m:sSub>
          <m:sSub>
            <m:e>
              <m:r>
                <w:rPr>
                  <w:rFonts w:ascii="Cambria Math" w:hAnsi="Cambria Math"/>
                </w:rPr>
                <m:t xml:space="preserve">k</m:t>
              </m:r>
            </m:e>
            <m:sub>
              <m:r>
                <w:rPr>
                  <w:rFonts w:ascii="Cambria Math" w:hAnsi="Cambria Math"/>
                </w:rPr>
                <m:t xml:space="preserve">Д</m:t>
              </m:r>
            </m:sub>
          </m:sSub>
          <m:sSub>
            <m:e>
              <m:r>
                <w:rPr>
                  <w:rFonts w:ascii="Cambria Math" w:hAnsi="Cambria Math"/>
                </w:rPr>
                <m:t xml:space="preserve">k</m:t>
              </m:r>
            </m:e>
            <m:sub>
              <m:r>
                <w:rPr>
                  <w:rFonts w:ascii="Cambria Math" w:hAnsi="Cambria Math"/>
                </w:rPr>
                <m:t xml:space="preserve">Е</m:t>
              </m:r>
            </m:sub>
          </m:sSub>
          <m:sSub>
            <m:e>
              <m:r>
                <w:rPr>
                  <w:rFonts w:ascii="Cambria Math" w:hAnsi="Cambria Math"/>
                </w:rPr>
                <m:t xml:space="preserve">k</m:t>
              </m:r>
            </m:e>
            <m:sub>
              <m:r>
                <w:rPr>
                  <w:rFonts w:ascii="Cambria Math" w:hAnsi="Cambria Math"/>
                </w:rPr>
                <m:t xml:space="preserve">Ж</m:t>
              </m:r>
            </m:sub>
          </m:sSub>
          <m:sSub>
            <m:e>
              <m:r>
                <w:rPr>
                  <w:rFonts w:ascii="Cambria Math" w:hAnsi="Cambria Math"/>
                </w:rPr>
                <m:t xml:space="preserve">k</m:t>
              </m:r>
            </m:e>
            <m:sub>
              <m:r>
                <w:rPr>
                  <w:rFonts w:ascii="Cambria Math" w:hAnsi="Cambria Math"/>
                </w:rPr>
                <m:t xml:space="preserve">З</m:t>
              </m:r>
            </m:sub>
          </m:sSub>
          <m:sSub>
            <m:e>
              <m:r>
                <w:rPr>
                  <w:rFonts w:ascii="Cambria Math" w:hAnsi="Cambria Math"/>
                </w:rPr>
                <m:t xml:space="preserve">k</m:t>
              </m:r>
            </m:e>
            <m:sub>
              <m:r>
                <w:rPr>
                  <w:rFonts w:ascii="Cambria Math" w:hAnsi="Cambria Math"/>
                </w:rPr>
                <m:t xml:space="preserve">И</m:t>
              </m:r>
            </m:sub>
          </m:sSub>
          <m:sSub>
            <m:e>
              <m:r>
                <m:rPr>
                  <m:lit/>
                  <m:nor/>
                </m:rPr>
                <w:rPr>
                  <w:rFonts w:ascii="Cambria Math" w:hAnsi="Cambria Math"/>
                </w:rPr>
                <m:t xml:space="preserve">ΔN</m:t>
              </m:r>
            </m:e>
            <m:sub>
              <m:sSubSup>
                <m:e>
                  <m:r>
                    <m:rPr>
                      <m:lit/>
                      <m:nor/>
                    </m:rPr>
                    <w:rPr>
                      <w:rFonts w:ascii="Cambria Math" w:hAnsi="Cambria Math"/>
                    </w:rPr>
                    <m:t xml:space="preserve">СП</m:t>
                  </m:r>
                </m:e>
                <m:sub>
                  <m:r>
                    <w:rPr>
                      <w:rFonts w:ascii="Cambria Math" w:hAnsi="Cambria Math"/>
                    </w:rPr>
                    <m:t xml:space="preserve">m</m:t>
                  </m:r>
                </m:sub>
                <m:sup>
                  <m:r>
                    <m:rPr>
                      <m:lit/>
                      <m:nor/>
                    </m:rPr>
                    <w:rPr>
                      <w:rFonts w:ascii="Cambria Math" w:hAnsi="Cambria Math"/>
                    </w:rPr>
                    <m:t xml:space="preserve">гот,j</m:t>
                  </m:r>
                </m:sup>
              </m:sSubSup>
            </m:sub>
          </m:sSub>
          <m:r>
            <w:rPr>
              <w:rFonts w:ascii="Cambria Math" w:hAnsi="Cambria Math"/>
            </w:rPr>
            <m:t xml:space="preserve">=</m:t>
          </m:r>
          <m:nary>
            <m:naryPr>
              <m:chr m:val="∑"/>
              <m:supHide m:val="1"/>
            </m:naryPr>
            <m:sub>
              <m:r>
                <w:rPr>
                  <w:rFonts w:ascii="Cambria Math" w:hAnsi="Cambria Math"/>
                </w:rPr>
                <m:t xml:space="preserve">n</m:t>
              </m:r>
            </m:sub>
            <m:sup/>
            <m:e>
              <m:d>
                <m:dPr>
                  <m:begChr m:val="("/>
                  <m:endChr m:val=")"/>
                </m:dPr>
                <m:e>
                  <m:sSub>
                    <m:e>
                      <m:r>
                        <w:rPr>
                          <w:rFonts w:ascii="Cambria Math" w:hAnsi="Cambria Math"/>
                        </w:rPr>
                        <m:t xml:space="preserve">k</m:t>
                      </m:r>
                    </m:e>
                    <m:sub>
                      <m:r>
                        <w:rPr>
                          <w:rFonts w:ascii="Cambria Math" w:hAnsi="Cambria Math"/>
                        </w:rPr>
                        <m:t xml:space="preserve">n</m:t>
                      </m:r>
                    </m:sub>
                  </m:sSub>
                  <m:r>
                    <w:rPr>
                      <w:rFonts w:ascii="Cambria Math" w:hAnsi="Cambria Math"/>
                    </w:rPr>
                    <m:t xml:space="preserve">⋅</m:t>
                  </m:r>
                  <m:sSup>
                    <m:e>
                      <m:r>
                        <w:rPr>
                          <w:rFonts w:ascii="Cambria Math" w:hAnsi="Cambria Math"/>
                        </w:rPr>
                        <m:t xml:space="preserve">N</m:t>
                      </m:r>
                    </m:e>
                    <m:sup>
                      <m:sSub>
                        <m:e>
                          <m:r>
                            <w:rPr>
                              <w:rFonts w:ascii="Cambria Math" w:hAnsi="Cambria Math"/>
                            </w:rPr>
                            <m:t xml:space="preserve">j</m:t>
                          </m:r>
                        </m:e>
                        <m:sub>
                          <m:r>
                            <m:rPr>
                              <m:lit/>
                              <m:nor/>
                            </m:rPr>
                            <w:rPr>
                              <w:rFonts w:ascii="Cambria Math" w:hAnsi="Cambria Math"/>
                            </w:rPr>
                            <m:t xml:space="preserve">нв,</m:t>
                          </m:r>
                          <m:r>
                            <w:rPr>
                              <w:rFonts w:ascii="Cambria Math" w:hAnsi="Cambria Math"/>
                            </w:rPr>
                            <m:t xml:space="preserve">n</m:t>
                          </m:r>
                        </m:sub>
                      </m:sSub>
                    </m:sup>
                  </m:sSup>
                </m:e>
              </m:d>
              <m:r>
                <w:rPr>
                  <w:rFonts w:ascii="Cambria Math" w:hAnsi="Cambria Math"/>
                </w:rPr>
                <m:t xml:space="preserve">+</m:t>
              </m:r>
              <m:nary>
                <m:naryPr>
                  <m:chr m:val="∑"/>
                  <m:supHide m:val="1"/>
                </m:naryPr>
                <m:sub>
                  <m:r>
                    <w:rPr>
                      <w:rFonts w:ascii="Cambria Math" w:hAnsi="Cambria Math"/>
                    </w:rPr>
                    <m:t xml:space="preserve">l</m:t>
                  </m:r>
                </m:sub>
                <m:sup/>
                <m:e>
                  <m:d>
                    <m:dPr>
                      <m:begChr m:val="("/>
                      <m:endChr m:val=")"/>
                    </m:dPr>
                    <m:e>
                      <m:sSub>
                        <m:e>
                          <m:r>
                            <w:rPr>
                              <w:rFonts w:ascii="Cambria Math" w:hAnsi="Cambria Math"/>
                            </w:rPr>
                            <m:t xml:space="preserve">k</m:t>
                          </m:r>
                        </m:e>
                        <m:sub>
                          <m:r>
                            <w:rPr>
                              <w:rFonts w:ascii="Cambria Math" w:hAnsi="Cambria Math"/>
                            </w:rPr>
                            <m:t xml:space="preserve">l</m:t>
                          </m:r>
                        </m:sub>
                      </m:sSub>
                      <m:r>
                        <w:rPr>
                          <w:rFonts w:ascii="Cambria Math" w:hAnsi="Cambria Math"/>
                        </w:rPr>
                        <m:t xml:space="preserve">⋅</m:t>
                      </m:r>
                      <m:sSubSup>
                        <m:e>
                          <m:r>
                            <w:rPr>
                              <w:rFonts w:ascii="Cambria Math" w:hAnsi="Cambria Math"/>
                            </w:rPr>
                            <m:t xml:space="preserve">k</m:t>
                          </m:r>
                        </m:e>
                        <m:sub>
                          <m:r>
                            <m:rPr>
                              <m:lit/>
                              <m:nor/>
                            </m:rPr>
                            <w:rPr>
                              <w:rFonts w:ascii="Cambria Math" w:hAnsi="Cambria Math"/>
                            </w:rPr>
                            <m:t xml:space="preserve">диф,m</m:t>
                          </m:r>
                        </m:sub>
                        <m:sup>
                          <m:r>
                            <w:rPr>
                              <w:rFonts w:ascii="Cambria Math" w:hAnsi="Cambria Math"/>
                            </w:rPr>
                            <m:t xml:space="preserve">j</m:t>
                          </m:r>
                        </m:sup>
                      </m:sSubSup>
                      <m:r>
                        <w:rPr>
                          <w:rFonts w:ascii="Cambria Math" w:hAnsi="Cambria Math"/>
                        </w:rPr>
                        <m:t xml:space="preserve">⋅</m:t>
                      </m:r>
                      <m:sSup>
                        <m:e>
                          <m:r>
                            <w:rPr>
                              <w:rFonts w:ascii="Cambria Math" w:hAnsi="Cambria Math"/>
                            </w:rPr>
                            <m:t xml:space="preserve">N</m:t>
                          </m:r>
                        </m:e>
                        <m:sup>
                          <m:sSub>
                            <m:e>
                              <m:r>
                                <w:rPr>
                                  <w:rFonts w:ascii="Cambria Math" w:hAnsi="Cambria Math"/>
                                </w:rPr>
                                <m:t xml:space="preserve">j</m:t>
                              </m:r>
                            </m:e>
                            <m:sub>
                              <m:r>
                                <m:rPr>
                                  <m:lit/>
                                  <m:nor/>
                                </m:rPr>
                                <w:rPr>
                                  <w:rFonts w:ascii="Cambria Math" w:hAnsi="Cambria Math"/>
                                </w:rPr>
                                <m:t xml:space="preserve">нв,</m:t>
                              </m:r>
                              <m:r>
                                <w:rPr>
                                  <w:rFonts w:ascii="Cambria Math" w:hAnsi="Cambria Math"/>
                                </w:rPr>
                                <m:t xml:space="preserve">l</m:t>
                              </m:r>
                            </m:sub>
                          </m:sSub>
                        </m:sup>
                      </m:sSup>
                    </m:e>
                  </m:d>
                </m:e>
              </m:nary>
            </m:e>
          </m:nary>
        </m:oMath>
      </m:oMathPara>
    </w:p>
    <w:p>
      <w:pPr>
        <w:pStyle w:val="Normal"/>
        <w:spacing w:lineRule="auto" w:line="276" w:before="0" w:after="200"/>
        <w:ind w:firstLine="709"/>
        <w:rPr>
          <w:rFonts w:eastAsia="Arial"/>
          <w:sz w:val="24"/>
          <w:szCs w:val="24"/>
        </w:rPr>
      </w:pPr>
      <w:r>
        <w:rPr>
          <w:rFonts w:eastAsia="Arial"/>
          <w:sz w:val="24"/>
          <w:szCs w:val="24"/>
        </w:rPr>
        <w:t>где:</w:t>
        <w:tab/>
      </w:r>
    </w:p>
    <w:p>
      <w:pPr>
        <w:pStyle w:val="Normal"/>
        <w:numPr>
          <w:ilvl w:val="0"/>
          <w:numId w:val="0"/>
        </w:numPr>
        <w:spacing w:lineRule="auto" w:line="276" w:before="120" w:after="120"/>
        <w:ind w:firstLine="567"/>
        <w:jc w:val="both"/>
        <w:outlineLvl w:val="3"/>
        <w:rPr>
          <w:sz w:val="24"/>
          <w:szCs w:val="24"/>
        </w:rPr>
      </w:pPr>
      <w:r>
        <w:rPr/>
        <w:drawing>
          <wp:inline distT="0" distB="0" distL="0" distR="0">
            <wp:extent cx="185420" cy="228600"/>
            <wp:effectExtent l="0" t="0" r="0" b="0"/>
            <wp:docPr id="17" name="Изображение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Изображение18" descr=""/>
                    <pic:cNvPicPr>
                      <a:picLocks noChangeAspect="1" noChangeArrowheads="1"/>
                    </pic:cNvPicPr>
                  </pic:nvPicPr>
                  <pic:blipFill>
                    <a:blip r:embed="rId22"/>
                    <a:stretch>
                      <a:fillRect/>
                    </a:stretch>
                  </pic:blipFill>
                  <pic:spPr bwMode="auto">
                    <a:xfrm>
                      <a:off x="0" y="0"/>
                      <a:ext cx="185420" cy="228600"/>
                    </a:xfrm>
                    <a:prstGeom prst="rect">
                      <a:avLst/>
                    </a:prstGeom>
                  </pic:spPr>
                </pic:pic>
              </a:graphicData>
            </a:graphic>
          </wp:inline>
        </w:drawing>
      </w:r>
      <w:r>
        <w:rPr>
          <w:sz w:val="24"/>
          <w:szCs w:val="24"/>
        </w:rPr>
        <w:t xml:space="preserve"> </w:t>
      </w:r>
      <w:r>
        <w:rPr>
          <w:rFonts w:eastAsia="Arial"/>
          <w:sz w:val="24"/>
          <w:szCs w:val="24"/>
        </w:rPr>
        <w:t>―</w:t>
      </w:r>
      <w:r>
        <w:rPr>
          <w:sz w:val="24"/>
          <w:szCs w:val="24"/>
        </w:rPr>
        <w:t xml:space="preserve"> </w:t>
      </w:r>
      <w:r>
        <w:rPr>
          <w:rFonts w:eastAsia="Arial"/>
          <w:sz w:val="24"/>
          <w:szCs w:val="24"/>
        </w:rPr>
        <w:t xml:space="preserve">коэффициенты </w:t>
      </w:r>
      <w:r>
        <w:rPr>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0</m:t>
            </m:r>
            <m:r>
              <m:rPr>
                <m:lit/>
                <m:nor/>
              </m:rPr>
              <w:rPr>
                <w:rFonts w:ascii="Cambria Math" w:hAnsi="Cambria Math"/>
              </w:rPr>
              <m:t xml:space="preserve">.</m:t>
            </m:r>
            <m:r>
              <w:rPr>
                <w:rFonts w:ascii="Cambria Math" w:hAnsi="Cambria Math"/>
              </w:rPr>
              <m:t xml:space="preserve">1</m:t>
            </m:r>
          </m:sub>
        </m:sSub>
      </m:oMath>
      <w:r>
        <w:rPr>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0</m:t>
            </m:r>
            <m:r>
              <m:rPr>
                <m:lit/>
                <m:nor/>
              </m:rPr>
              <w:rPr>
                <w:rFonts w:ascii="Cambria Math" w:hAnsi="Cambria Math"/>
              </w:rPr>
              <m:t xml:space="preserve">.</m:t>
            </m:r>
            <m:r>
              <w:rPr>
                <w:rFonts w:ascii="Cambria Math" w:hAnsi="Cambria Math"/>
              </w:rPr>
              <m:t xml:space="preserve">2</m:t>
            </m:r>
          </m:sub>
        </m:sSub>
      </m:oMath>
      <w:r>
        <w:rPr>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1</m:t>
            </m:r>
            <m:r>
              <m:rPr>
                <m:lit/>
                <m:nor/>
              </m:rPr>
              <w:rPr>
                <w:rFonts w:ascii="Cambria Math" w:hAnsi="Cambria Math"/>
              </w:rPr>
              <m:t xml:space="preserve">.</m:t>
            </m:r>
            <m:r>
              <w:rPr>
                <w:rFonts w:ascii="Cambria Math" w:hAnsi="Cambria Math"/>
              </w:rPr>
              <m:t xml:space="preserve">1</m:t>
            </m:r>
          </m:sub>
        </m:sSub>
      </m:oMath>
      <w:r>
        <w:rPr>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1</m:t>
            </m:r>
            <m:r>
              <m:rPr>
                <m:lit/>
                <m:nor/>
              </m:rPr>
              <w:rPr>
                <w:rFonts w:ascii="Cambria Math" w:hAnsi="Cambria Math"/>
              </w:rPr>
              <m:t xml:space="preserve">.</m:t>
            </m:r>
            <m:r>
              <w:rPr>
                <w:rFonts w:ascii="Cambria Math" w:hAnsi="Cambria Math"/>
              </w:rPr>
              <m:t xml:space="preserve">2</m:t>
            </m:r>
          </m:sub>
        </m:sSub>
      </m:oMath>
      <w:r>
        <w:rPr>
          <w:sz w:val="24"/>
          <w:szCs w:val="24"/>
        </w:rPr>
        <w:t>)</w:t>
      </w:r>
    </w:p>
    <w:p>
      <w:pPr>
        <w:pStyle w:val="Normal"/>
        <w:numPr>
          <w:ilvl w:val="0"/>
          <w:numId w:val="0"/>
        </w:numPr>
        <w:spacing w:lineRule="auto" w:line="276" w:before="120" w:after="120"/>
        <w:ind w:firstLine="567"/>
        <w:jc w:val="both"/>
        <w:outlineLvl w:val="3"/>
        <w:rPr>
          <w:sz w:val="24"/>
          <w:szCs w:val="24"/>
        </w:rPr>
      </w:pPr>
      <w:r>
        <w:rPr/>
        <w:drawing>
          <wp:inline distT="0" distB="0" distL="0" distR="0">
            <wp:extent cx="184785" cy="277495"/>
            <wp:effectExtent l="0" t="0" r="0" b="0"/>
            <wp:docPr id="18" name="Изображение1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Изображение19" descr=""/>
                    <pic:cNvPicPr>
                      <a:picLocks noChangeAspect="1" noChangeArrowheads="1"/>
                    </pic:cNvPicPr>
                  </pic:nvPicPr>
                  <pic:blipFill>
                    <a:blip r:embed="rId23"/>
                    <a:stretch>
                      <a:fillRect/>
                    </a:stretch>
                  </pic:blipFill>
                  <pic:spPr bwMode="auto">
                    <a:xfrm>
                      <a:off x="0" y="0"/>
                      <a:ext cx="184785" cy="277495"/>
                    </a:xfrm>
                    <a:prstGeom prst="rect">
                      <a:avLst/>
                    </a:prstGeom>
                  </pic:spPr>
                </pic:pic>
              </a:graphicData>
            </a:graphic>
          </wp:inline>
        </w:drawing>
      </w:r>
      <w:r>
        <w:rPr>
          <w:sz w:val="24"/>
          <w:szCs w:val="24"/>
        </w:rPr>
        <w:t xml:space="preserve"> </w:t>
      </w:r>
      <w:r>
        <w:rPr>
          <w:rFonts w:eastAsia="Arial"/>
          <w:sz w:val="24"/>
          <w:szCs w:val="24"/>
        </w:rPr>
        <w:t>―</w:t>
      </w:r>
      <w:r>
        <w:rPr>
          <w:sz w:val="24"/>
          <w:szCs w:val="24"/>
        </w:rPr>
        <w:t xml:space="preserve"> </w:t>
      </w:r>
      <w:r>
        <w:rPr>
          <w:rFonts w:eastAsia="Arial"/>
          <w:sz w:val="24"/>
          <w:szCs w:val="24"/>
        </w:rPr>
        <w:t>коэффициенты (</w:t>
      </w:r>
      <w:r>
        <w:rPr/>
      </w:r>
      <m:oMath xmlns:m="http://schemas.openxmlformats.org/officeDocument/2006/math">
        <m:sSub>
          <m:e>
            <m:r>
              <w:rPr>
                <w:rFonts w:ascii="Cambria Math" w:hAnsi="Cambria Math"/>
              </w:rPr>
              <m:t xml:space="preserve">k</m:t>
            </m:r>
          </m:e>
          <m:sub>
            <m:r>
              <w:rPr>
                <w:rFonts w:ascii="Cambria Math" w:hAnsi="Cambria Math"/>
              </w:rPr>
              <m:t xml:space="preserve">1</m:t>
            </m:r>
            <m:r>
              <m:rPr>
                <m:lit/>
                <m:nor/>
              </m:rPr>
              <w:rPr>
                <w:rFonts w:ascii="Cambria Math" w:hAnsi="Cambria Math"/>
              </w:rPr>
              <m:t xml:space="preserve">.</m:t>
            </m:r>
            <m:r>
              <w:rPr>
                <w:rFonts w:ascii="Cambria Math" w:hAnsi="Cambria Math"/>
              </w:rPr>
              <m:t xml:space="preserve">3</m:t>
            </m:r>
          </m:sub>
        </m:sSub>
      </m:oMath>
      <w:r>
        <w:rPr>
          <w:rFonts w:eastAsia="Arial"/>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1</m:t>
            </m:r>
            <m:r>
              <m:rPr>
                <m:lit/>
                <m:nor/>
              </m:rPr>
              <w:rPr>
                <w:rFonts w:ascii="Cambria Math" w:hAnsi="Cambria Math"/>
              </w:rPr>
              <m:t xml:space="preserve">.</m:t>
            </m:r>
            <m:r>
              <w:rPr>
                <w:rFonts w:ascii="Cambria Math" w:hAnsi="Cambria Math"/>
              </w:rPr>
              <m:t xml:space="preserve">4</m:t>
            </m:r>
          </m:sub>
        </m:sSub>
      </m:oMath>
      <w:r>
        <w:rPr>
          <w:rFonts w:eastAsia="Arial"/>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2</m:t>
            </m:r>
            <m:r>
              <m:rPr>
                <m:lit/>
                <m:nor/>
              </m:rPr>
              <w:rPr>
                <w:rFonts w:ascii="Cambria Math" w:hAnsi="Cambria Math"/>
              </w:rPr>
              <m:t xml:space="preserve">.</m:t>
            </m:r>
            <m:r>
              <w:rPr>
                <w:rFonts w:ascii="Cambria Math" w:hAnsi="Cambria Math"/>
              </w:rPr>
              <m:t xml:space="preserve">1</m:t>
            </m:r>
            <m:r>
              <m:rPr>
                <m:lit/>
                <m:nor/>
              </m:rPr>
              <w:rPr>
                <w:rFonts w:ascii="Cambria Math" w:hAnsi="Cambria Math"/>
              </w:rPr>
              <m:t xml:space="preserve">.</m:t>
            </m:r>
            <m:r>
              <w:rPr>
                <w:rFonts w:ascii="Cambria Math" w:hAnsi="Cambria Math"/>
              </w:rPr>
              <m:t xml:space="preserve">1</m:t>
            </m:r>
          </m:sub>
        </m:sSub>
      </m:oMath>
      <w:r>
        <w:rPr>
          <w:rFonts w:eastAsia="Arial"/>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2</m:t>
            </m:r>
            <m:r>
              <m:rPr>
                <m:lit/>
                <m:nor/>
              </m:rPr>
              <w:rPr>
                <w:rFonts w:ascii="Cambria Math" w:hAnsi="Cambria Math"/>
              </w:rPr>
              <m:t xml:space="preserve">.</m:t>
            </m:r>
            <m:r>
              <w:rPr>
                <w:rFonts w:ascii="Cambria Math" w:hAnsi="Cambria Math"/>
              </w:rPr>
              <m:t xml:space="preserve">1</m:t>
            </m:r>
            <m:r>
              <m:rPr>
                <m:lit/>
                <m:nor/>
              </m:rPr>
              <w:rPr>
                <w:rFonts w:ascii="Cambria Math" w:hAnsi="Cambria Math"/>
              </w:rPr>
              <m:t xml:space="preserve">.</m:t>
            </m:r>
            <m:r>
              <w:rPr>
                <w:rFonts w:ascii="Cambria Math" w:hAnsi="Cambria Math"/>
              </w:rPr>
              <m:t xml:space="preserve">2</m:t>
            </m:r>
          </m:sub>
        </m:sSub>
      </m:oMath>
      <w:r>
        <w:rPr>
          <w:rFonts w:eastAsia="Arial"/>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2</m:t>
            </m:r>
            <m:r>
              <m:rPr>
                <m:lit/>
                <m:nor/>
              </m:rPr>
              <w:rPr>
                <w:rFonts w:ascii="Cambria Math" w:hAnsi="Cambria Math"/>
              </w:rPr>
              <m:t xml:space="preserve">.</m:t>
            </m:r>
            <m:r>
              <w:rPr>
                <w:rFonts w:ascii="Cambria Math" w:hAnsi="Cambria Math"/>
              </w:rPr>
              <m:t xml:space="preserve">1</m:t>
            </m:r>
            <m:r>
              <m:rPr>
                <m:lit/>
                <m:nor/>
              </m:rPr>
              <w:rPr>
                <w:rFonts w:ascii="Cambria Math" w:hAnsi="Cambria Math"/>
              </w:rPr>
              <m:t xml:space="preserve">.</m:t>
            </m:r>
            <m:r>
              <w:rPr>
                <w:rFonts w:ascii="Cambria Math" w:hAnsi="Cambria Math"/>
              </w:rPr>
              <m:t xml:space="preserve">3</m:t>
            </m:r>
          </m:sub>
        </m:sSub>
      </m:oMath>
      <w:r>
        <w:rPr>
          <w:rFonts w:eastAsia="Arial"/>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2</m:t>
            </m:r>
            <m:r>
              <m:rPr>
                <m:lit/>
                <m:nor/>
              </m:rPr>
              <w:rPr>
                <w:rFonts w:ascii="Cambria Math" w:hAnsi="Cambria Math"/>
              </w:rPr>
              <m:t xml:space="preserve">.</m:t>
            </m:r>
            <m:r>
              <w:rPr>
                <w:rFonts w:ascii="Cambria Math" w:hAnsi="Cambria Math"/>
              </w:rPr>
              <m:t xml:space="preserve">2</m:t>
            </m:r>
          </m:sub>
        </m:sSub>
      </m:oMath>
      <w:r>
        <w:rPr>
          <w:rFonts w:eastAsia="Arial"/>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3</m:t>
            </m:r>
          </m:sub>
        </m:sSub>
      </m:oMath>
      <w:r>
        <w:rPr>
          <w:rFonts w:eastAsia="Arial"/>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4</m:t>
            </m:r>
          </m:sub>
        </m:sSub>
      </m:oMath>
      <w:r>
        <w:rPr>
          <w:rFonts w:eastAsia="Arial"/>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5</m:t>
            </m:r>
          </m:sub>
        </m:sSub>
      </m:oMath>
      <w:r>
        <w:rPr>
          <w:rFonts w:eastAsia="Arial"/>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6</m:t>
            </m:r>
          </m:sub>
        </m:sSub>
      </m:oMath>
      <w:r>
        <w:rPr>
          <w:rFonts w:eastAsia="Arial"/>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7</m:t>
            </m:r>
          </m:sub>
        </m:sSub>
      </m:oMath>
      <w:r>
        <w:rPr>
          <w:rFonts w:eastAsia="Arial"/>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8</m:t>
            </m:r>
            <m:r>
              <m:rPr>
                <m:lit/>
                <m:nor/>
              </m:rPr>
              <w:rPr>
                <w:rFonts w:ascii="Cambria Math" w:hAnsi="Cambria Math"/>
              </w:rPr>
              <m:t xml:space="preserve">.</m:t>
            </m:r>
            <m:r>
              <w:rPr>
                <w:rFonts w:ascii="Cambria Math" w:hAnsi="Cambria Math"/>
              </w:rPr>
              <m:t xml:space="preserve">1</m:t>
            </m:r>
          </m:sub>
        </m:sSub>
      </m:oMath>
      <w:r>
        <w:rPr>
          <w:rFonts w:eastAsia="Arial"/>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8</m:t>
            </m:r>
            <m:r>
              <m:rPr>
                <m:lit/>
                <m:nor/>
              </m:rPr>
              <w:rPr>
                <w:rFonts w:ascii="Cambria Math" w:hAnsi="Cambria Math"/>
              </w:rPr>
              <m:t xml:space="preserve">.</m:t>
            </m:r>
            <m:r>
              <w:rPr>
                <w:rFonts w:ascii="Cambria Math" w:hAnsi="Cambria Math"/>
              </w:rPr>
              <m:t xml:space="preserve">2</m:t>
            </m:r>
          </m:sub>
        </m:sSub>
      </m:oMath>
      <w:r>
        <w:rPr>
          <w:rFonts w:eastAsia="Arial"/>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9</m:t>
            </m:r>
          </m:sub>
        </m:sSub>
      </m:oMath>
      <w:r>
        <w:rPr>
          <w:rFonts w:eastAsia="Arial"/>
          <w:sz w:val="24"/>
          <w:szCs w:val="24"/>
        </w:rPr>
        <w:t xml:space="preserve">), </w:t>
      </w:r>
    </w:p>
    <w:p>
      <w:pPr>
        <w:pStyle w:val="Normal"/>
        <w:numPr>
          <w:ilvl w:val="0"/>
          <w:numId w:val="0"/>
        </w:numPr>
        <w:spacing w:lineRule="auto" w:line="276" w:before="120" w:after="120"/>
        <w:ind w:firstLine="567"/>
        <w:jc w:val="both"/>
        <w:outlineLvl w:val="3"/>
        <w:rPr>
          <w:sz w:val="24"/>
          <w:szCs w:val="24"/>
        </w:rPr>
      </w:pPr>
      <w:r>
        <w:rPr>
          <w:rFonts w:eastAsia="Arial"/>
          <w:sz w:val="24"/>
          <w:szCs w:val="24"/>
        </w:rPr>
        <w:t xml:space="preserve">определяемые для каждого из соответствующих им объемов невыполнения требований по готовности </w:t>
      </w:r>
      <w:r>
        <w:rPr/>
        <w:drawing>
          <wp:inline distT="0" distB="0" distL="0" distR="0">
            <wp:extent cx="277495" cy="277495"/>
            <wp:effectExtent l="0" t="0" r="0" b="0"/>
            <wp:docPr id="19" name="Изображение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Изображение20" descr=""/>
                    <pic:cNvPicPr>
                      <a:picLocks noChangeAspect="1" noChangeArrowheads="1"/>
                    </pic:cNvPicPr>
                  </pic:nvPicPr>
                  <pic:blipFill>
                    <a:blip r:embed="rId24"/>
                    <a:stretch>
                      <a:fillRect/>
                    </a:stretch>
                  </pic:blipFill>
                  <pic:spPr bwMode="auto">
                    <a:xfrm>
                      <a:off x="0" y="0"/>
                      <a:ext cx="277495" cy="277495"/>
                    </a:xfrm>
                    <a:prstGeom prst="rect">
                      <a:avLst/>
                    </a:prstGeom>
                  </pic:spPr>
                </pic:pic>
              </a:graphicData>
            </a:graphic>
          </wp:inline>
        </w:drawing>
      </w:r>
      <w:r>
        <w:rPr>
          <w:rFonts w:eastAsia="Arial"/>
          <w:sz w:val="24"/>
          <w:szCs w:val="24"/>
        </w:rPr>
        <w:t xml:space="preserve"> Правилами ОРЭМ (согласно Приложению 2 к Регламенту определения объемов фактически поставленной на оптовый рынок мощности, Приказ ФСТ  России от 03.03.2009 № 32-э/1).</w:t>
      </w:r>
    </w:p>
    <w:p>
      <w:pPr>
        <w:pStyle w:val="Normal"/>
        <w:numPr>
          <w:ilvl w:val="0"/>
          <w:numId w:val="0"/>
        </w:numPr>
        <w:spacing w:lineRule="auto" w:line="276" w:before="120" w:after="120"/>
        <w:ind w:firstLine="567"/>
        <w:jc w:val="both"/>
        <w:outlineLvl w:val="2"/>
        <w:rPr>
          <w:sz w:val="24"/>
          <w:szCs w:val="24"/>
        </w:rPr>
      </w:pPr>
      <w:r>
        <w:rPr>
          <w:rFonts w:eastAsia="Arial"/>
          <w:sz w:val="24"/>
          <w:szCs w:val="24"/>
        </w:rPr>
        <w:t xml:space="preserve">Для входящей в состав Дальневосточного федерального округа отдельной территории, ранее относившейся к неценовым зонам, </w:t>
      </w:r>
      <w:r>
        <w:rPr/>
        <w:drawing>
          <wp:inline distT="0" distB="0" distL="0" distR="0">
            <wp:extent cx="636270" cy="278130"/>
            <wp:effectExtent l="0" t="0" r="0" b="0"/>
            <wp:docPr id="20" name="Изображение2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Изображение21" descr=""/>
                    <pic:cNvPicPr>
                      <a:picLocks noChangeAspect="1" noChangeArrowheads="1"/>
                    </pic:cNvPicPr>
                  </pic:nvPicPr>
                  <pic:blipFill>
                    <a:blip r:embed="rId25"/>
                    <a:stretch>
                      <a:fillRect/>
                    </a:stretch>
                  </pic:blipFill>
                  <pic:spPr bwMode="auto">
                    <a:xfrm>
                      <a:off x="0" y="0"/>
                      <a:ext cx="636270" cy="278130"/>
                    </a:xfrm>
                    <a:prstGeom prst="rect">
                      <a:avLst/>
                    </a:prstGeom>
                  </pic:spPr>
                </pic:pic>
              </a:graphicData>
            </a:graphic>
          </wp:inline>
        </w:drawing>
      </w:r>
      <w:r>
        <w:rPr>
          <w:rFonts w:eastAsia="Arial"/>
          <w:sz w:val="24"/>
          <w:szCs w:val="24"/>
        </w:rPr>
        <w:t>.</w:t>
      </w:r>
    </w:p>
    <w:p>
      <w:pPr>
        <w:pStyle w:val="Normal"/>
        <w:spacing w:lineRule="auto" w:line="276" w:before="0" w:after="200"/>
        <w:ind w:firstLine="567"/>
        <w:jc w:val="both"/>
        <w:rPr>
          <w:rFonts w:eastAsia="Arial"/>
          <w:sz w:val="24"/>
          <w:szCs w:val="24"/>
        </w:rPr>
      </w:pPr>
      <w:r>
        <w:rPr>
          <w:rFonts w:eastAsia="Arial"/>
          <w:sz w:val="24"/>
          <w:szCs w:val="24"/>
        </w:rPr>
        <w:t xml:space="preserve">В соответствии с Постановлением Правительства РФ от 27.12.2010 N 1172 (ред. от 04.02.2025)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 </w:t>
      </w:r>
    </w:p>
    <w:p>
      <w:pPr>
        <w:pStyle w:val="Normal"/>
        <w:spacing w:lineRule="auto" w:line="276" w:before="0" w:after="200"/>
        <w:ind w:firstLine="567"/>
        <w:jc w:val="both"/>
        <w:rPr>
          <w:rFonts w:eastAsia="Arial"/>
          <w:sz w:val="24"/>
          <w:szCs w:val="24"/>
        </w:rPr>
      </w:pPr>
      <w:r>
        <w:rPr>
          <w:rFonts w:eastAsia="Arial"/>
          <w:sz w:val="24"/>
          <w:szCs w:val="24"/>
        </w:rPr>
        <w:t>- стоимость мощности, продаваемой по итогам конкурентного отбора мощности, определяется исходя из цены, определенной в соответствии с договором о присоединении к торговой системе оптового рынка организацией коммерческой инфраструктуры по результатам конкурентного отбора мощности по соответствующей группе точек поставки с учетом индексации этой цены, на условиях и в порядке, которые установлены Правилами индексации цены на мощность, умноженной на сезонный коэффициент.</w:t>
      </w:r>
    </w:p>
    <w:p>
      <w:pPr>
        <w:pStyle w:val="Normal"/>
        <w:spacing w:lineRule="auto" w:line="276" w:before="0" w:after="200"/>
        <w:ind w:firstLine="567"/>
        <w:jc w:val="both"/>
        <w:rPr>
          <w:sz w:val="24"/>
          <w:szCs w:val="24"/>
        </w:rPr>
      </w:pPr>
      <w:r>
        <w:rPr>
          <w:sz w:val="24"/>
          <w:szCs w:val="24"/>
        </w:rPr>
        <w:t xml:space="preserve">  </w:t>
      </w:r>
      <w:r>
        <w:rPr>
          <w:rFonts w:eastAsia="Arial"/>
          <w:sz w:val="24"/>
          <w:szCs w:val="24"/>
        </w:rPr>
        <w:t xml:space="preserve">- </w:t>
      </w:r>
      <w:r>
        <w:rPr/>
        <w:drawing>
          <wp:inline distT="0" distB="0" distL="0" distR="0">
            <wp:extent cx="474980" cy="302260"/>
            <wp:effectExtent l="0" t="0" r="0" b="0"/>
            <wp:docPr id="21" name="Изображение2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Изображение22" descr=""/>
                    <pic:cNvPicPr>
                      <a:picLocks noChangeAspect="1" noChangeArrowheads="1"/>
                    </pic:cNvPicPr>
                  </pic:nvPicPr>
                  <pic:blipFill>
                    <a:blip r:embed="rId26"/>
                    <a:stretch>
                      <a:fillRect/>
                    </a:stretch>
                  </pic:blipFill>
                  <pic:spPr bwMode="auto">
                    <a:xfrm>
                      <a:off x="0" y="0"/>
                      <a:ext cx="474980" cy="302260"/>
                    </a:xfrm>
                    <a:prstGeom prst="rect">
                      <a:avLst/>
                    </a:prstGeom>
                  </pic:spPr>
                </pic:pic>
              </a:graphicData>
            </a:graphic>
          </wp:inline>
        </w:drawing>
      </w:r>
      <w:r>
        <w:rPr>
          <w:rFonts w:eastAsia="Arial"/>
          <w:sz w:val="24"/>
          <w:szCs w:val="24"/>
        </w:rPr>
        <w:t xml:space="preserve"> - цена на мощность в месяце (m), определяемая согласно Правилам ОРЭМ для генерирующего объекта (g) тепловой электростанции на входящей в состав Дальневосточного федерального округа отдельной территории, ранее относившейся к неценовым зонам, включенного в перечень генерирующих объектов на отдельных территориях, ранее относившихся к неценовым зонам, частичная компенсация стоимости мощности которого осуществляется за счет надбавки к цене на мощность, поставляемой субъектом оптового рынка - производителем электрической энергии (мощности) (pr), в отношении которого Правительством Российской Федерации принято соответствующее решение (рублей/МВт в месяц);</w:t>
      </w:r>
    </w:p>
    <w:p>
      <w:pPr>
        <w:pStyle w:val="Normal"/>
        <w:spacing w:lineRule="auto" w:line="276" w:before="0" w:after="200"/>
        <w:ind w:firstLine="567"/>
        <w:jc w:val="both"/>
        <w:rPr>
          <w:rFonts w:eastAsia="Arial"/>
          <w:sz w:val="24"/>
          <w:szCs w:val="24"/>
        </w:rPr>
      </w:pPr>
      <w:r>
        <w:rPr>
          <w:rFonts w:eastAsia="Arial"/>
          <w:sz w:val="24"/>
          <w:szCs w:val="24"/>
        </w:rPr>
        <w:t>- сезонный коэффициент определяется в соответствии с договором о присоединении к торговой системе оптового рынка как отношение среднего за 3 предшествующих года значения объема максимального потребления электрической энергии в определенные системным оператором плановые часы пиковой нагрузки в ценовой зоне в соответствующем месяце к среднему за 3 предшествующих года значению объема среднегодового максимального потребления электрической энергии в определенные системным оператором плановые часы пиковой нагрузки в этой же ценовой зоне. При этом для второй ценовой зоны до 31 декабря 2028 г. включительно сезонный коэффициент определяется без учета потребления электрической энергии на входящей в состав Дальневосточного федерального округа отдельной территории, ранее относившейся к неценовым зонам.</w:t>
      </w:r>
    </w:p>
    <w:p>
      <w:pPr>
        <w:pStyle w:val="Normal"/>
        <w:spacing w:lineRule="auto" w:line="276" w:before="240" w:after="200"/>
        <w:jc w:val="both"/>
        <w:rPr>
          <w:sz w:val="24"/>
          <w:szCs w:val="24"/>
        </w:rPr>
      </w:pPr>
      <w:r>
        <w:rPr>
          <w:rFonts w:eastAsia="Arial"/>
          <w:sz w:val="24"/>
          <w:szCs w:val="24"/>
        </w:rPr>
        <w:t xml:space="preserve">- </w:t>
      </w:r>
      <w:r>
        <w:rPr/>
        <w:drawing>
          <wp:inline distT="0" distB="0" distL="0" distR="0">
            <wp:extent cx="457200" cy="302895"/>
            <wp:effectExtent l="0" t="0" r="0" b="0"/>
            <wp:docPr id="22" name="Изображение2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Изображение23" descr=""/>
                    <pic:cNvPicPr>
                      <a:picLocks noChangeAspect="1" noChangeArrowheads="1"/>
                    </pic:cNvPicPr>
                  </pic:nvPicPr>
                  <pic:blipFill>
                    <a:blip r:embed="rId27"/>
                    <a:stretch>
                      <a:fillRect/>
                    </a:stretch>
                  </pic:blipFill>
                  <pic:spPr bwMode="auto">
                    <a:xfrm>
                      <a:off x="0" y="0"/>
                      <a:ext cx="457200" cy="302895"/>
                    </a:xfrm>
                    <a:prstGeom prst="rect">
                      <a:avLst/>
                    </a:prstGeom>
                  </pic:spPr>
                </pic:pic>
              </a:graphicData>
            </a:graphic>
          </wp:inline>
        </w:drawing>
      </w:r>
      <w:r>
        <w:rPr>
          <w:rFonts w:eastAsia="Arial"/>
          <w:sz w:val="24"/>
          <w:szCs w:val="24"/>
        </w:rPr>
        <w:t xml:space="preserve"> - сезонный коэффициент, рассчитанный для ценовой зоны оптового рынка (z) месяца (m); </w:t>
      </w:r>
    </w:p>
    <w:p>
      <w:pPr>
        <w:pStyle w:val="Normal"/>
        <w:widowControl/>
        <w:spacing w:before="120" w:after="20"/>
        <w:ind w:firstLine="709"/>
        <w:jc w:val="both"/>
        <w:rPr>
          <w:sz w:val="24"/>
          <w:szCs w:val="24"/>
        </w:rPr>
      </w:pPr>
      <w:r>
        <w:rPr>
          <w:rFonts w:eastAsia="Arial"/>
          <w:sz w:val="24"/>
          <w:szCs w:val="24"/>
        </w:rPr>
        <w:t xml:space="preserve">Стоимость недопоставки мощности (снижение оплаты мощности) рассчитывается как произведение объема недопоставки мощности </w:t>
      </w:r>
      <w:r>
        <w:rPr/>
      </w:r>
      <m:oMath xmlns:m="http://schemas.openxmlformats.org/officeDocument/2006/math">
        <m:sSub>
          <m:e>
            <m:r>
              <m:rPr>
                <m:lit/>
                <m:nor/>
              </m:rPr>
              <w:rPr>
                <w:rFonts w:ascii="Cambria Math" w:hAnsi="Cambria Math"/>
              </w:rPr>
              <m:t xml:space="preserve">ΔN</m:t>
            </m:r>
          </m:e>
          <m:sub>
            <m:sSubSup>
              <m:e>
                <m:r>
                  <m:rPr>
                    <m:lit/>
                    <m:nor/>
                  </m:rPr>
                  <w:rPr>
                    <w:rFonts w:ascii="Cambria Math" w:hAnsi="Cambria Math"/>
                  </w:rPr>
                  <m:t xml:space="preserve">СП</m:t>
                </m:r>
              </m:e>
              <m:sub>
                <m:r>
                  <w:rPr>
                    <w:rFonts w:ascii="Cambria Math" w:hAnsi="Cambria Math"/>
                  </w:rPr>
                  <m:t xml:space="preserve">m</m:t>
                </m:r>
              </m:sub>
              <m:sup>
                <m:r>
                  <m:rPr>
                    <m:lit/>
                    <m:nor/>
                  </m:rPr>
                  <w:rPr>
                    <w:rFonts w:ascii="Cambria Math" w:hAnsi="Cambria Math"/>
                  </w:rPr>
                  <m:t xml:space="preserve">гот,j</m:t>
                </m:r>
              </m:sup>
            </m:sSubSup>
          </m:sub>
        </m:sSub>
      </m:oMath>
      <w:r>
        <w:rPr>
          <w:rFonts w:eastAsia="Arial"/>
          <w:sz w:val="24"/>
          <w:szCs w:val="24"/>
        </w:rPr>
        <w:t xml:space="preserve"> на цену </w:t>
      </w:r>
      <w:r>
        <w:rPr/>
        <w:drawing>
          <wp:inline distT="0" distB="0" distL="0" distR="0">
            <wp:extent cx="474980" cy="302260"/>
            <wp:effectExtent l="0" t="0" r="0" b="0"/>
            <wp:docPr id="23" name="Изображение2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Изображение24" descr=""/>
                    <pic:cNvPicPr>
                      <a:picLocks noChangeAspect="1" noChangeArrowheads="1"/>
                    </pic:cNvPicPr>
                  </pic:nvPicPr>
                  <pic:blipFill>
                    <a:blip r:embed="rId28"/>
                    <a:srcRect l="-42" t="-65" r="-42" b="-65"/>
                    <a:stretch>
                      <a:fillRect/>
                    </a:stretch>
                  </pic:blipFill>
                  <pic:spPr bwMode="auto">
                    <a:xfrm>
                      <a:off x="0" y="0"/>
                      <a:ext cx="474980" cy="302260"/>
                    </a:xfrm>
                    <a:prstGeom prst="rect">
                      <a:avLst/>
                    </a:prstGeom>
                  </pic:spPr>
                </pic:pic>
              </a:graphicData>
            </a:graphic>
          </wp:inline>
        </w:drawing>
      </w:r>
      <w:r>
        <w:rPr>
          <w:rFonts w:eastAsia="Arial"/>
          <w:sz w:val="24"/>
          <w:szCs w:val="24"/>
        </w:rPr>
        <w:t xml:space="preserve"> и на коэффициент сезонности</w:t>
      </w:r>
      <w:r>
        <w:rPr/>
        <w:drawing>
          <wp:inline distT="0" distB="0" distL="0" distR="0">
            <wp:extent cx="457200" cy="302895"/>
            <wp:effectExtent l="0" t="0" r="0" b="0"/>
            <wp:docPr id="24" name="Изображение2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Изображение25" descr=""/>
                    <pic:cNvPicPr>
                      <a:picLocks noChangeAspect="1" noChangeArrowheads="1"/>
                    </pic:cNvPicPr>
                  </pic:nvPicPr>
                  <pic:blipFill>
                    <a:blip r:embed="rId29"/>
                    <a:srcRect l="-43" t="-65" r="-43" b="-65"/>
                    <a:stretch>
                      <a:fillRect/>
                    </a:stretch>
                  </pic:blipFill>
                  <pic:spPr bwMode="auto">
                    <a:xfrm>
                      <a:off x="0" y="0"/>
                      <a:ext cx="457200" cy="302895"/>
                    </a:xfrm>
                    <a:prstGeom prst="rect">
                      <a:avLst/>
                    </a:prstGeom>
                  </pic:spPr>
                </pic:pic>
              </a:graphicData>
            </a:graphic>
          </wp:inline>
        </w:drawing>
      </w:r>
      <w:r>
        <w:rPr>
          <w:rFonts w:eastAsia="Arial"/>
          <w:sz w:val="24"/>
          <w:szCs w:val="24"/>
        </w:rPr>
        <w:t xml:space="preserve">. </w:t>
      </w:r>
    </w:p>
    <w:p>
      <w:pPr>
        <w:pStyle w:val="Normal"/>
        <w:widowControl/>
        <w:spacing w:before="120" w:after="20"/>
        <w:ind w:firstLine="709"/>
        <w:jc w:val="both"/>
        <w:rPr>
          <w:sz w:val="24"/>
          <w:szCs w:val="24"/>
        </w:rPr>
      </w:pPr>
      <w:r>
        <w:rPr>
          <w:sz w:val="24"/>
          <w:szCs w:val="24"/>
        </w:rPr>
      </w:r>
    </w:p>
    <w:p>
      <w:pPr>
        <w:pStyle w:val="Normal"/>
        <w:widowControl/>
        <w:spacing w:before="120" w:after="20"/>
        <w:ind w:firstLine="709"/>
        <w:jc w:val="both"/>
        <w:rPr>
          <w:sz w:val="24"/>
          <w:szCs w:val="24"/>
        </w:rPr>
      </w:pPr>
      <w:r>
        <w:rPr>
          <w:sz w:val="24"/>
          <w:szCs w:val="24"/>
        </w:rPr>
      </w:r>
    </w:p>
    <w:p>
      <w:pPr>
        <w:pStyle w:val="Normal"/>
        <w:jc w:val="center"/>
        <w:rPr>
          <w:sz w:val="22"/>
          <w:szCs w:val="22"/>
        </w:rPr>
      </w:pPr>
      <w:r>
        <w:rPr>
          <w:sz w:val="22"/>
          <w:szCs w:val="22"/>
        </w:rPr>
        <w:t>ПОДПИСИ СТОРОН:</w:t>
      </w:r>
    </w:p>
    <w:p>
      <w:pPr>
        <w:pStyle w:val="Normal"/>
        <w:jc w:val="center"/>
        <w:rPr>
          <w:sz w:val="22"/>
          <w:szCs w:val="22"/>
        </w:rPr>
      </w:pPr>
      <w:r>
        <w:rPr>
          <w:sz w:val="22"/>
          <w:szCs w:val="22"/>
        </w:rPr>
      </w:r>
    </w:p>
    <w:p>
      <w:pPr>
        <w:pStyle w:val="Normal"/>
        <w:jc w:val="center"/>
        <w:rPr>
          <w:sz w:val="22"/>
          <w:szCs w:val="22"/>
        </w:rPr>
      </w:pPr>
      <w:r>
        <w:rPr>
          <w:sz w:val="22"/>
          <w:szCs w:val="22"/>
        </w:rPr>
      </w:r>
    </w:p>
    <w:tbl>
      <w:tblPr>
        <w:tblStyle w:val="affb"/>
        <w:tblW w:w="9911"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4955"/>
        <w:gridCol w:w="4955"/>
      </w:tblGrid>
      <w:tr>
        <w:trPr/>
        <w:tc>
          <w:tcPr>
            <w:tcW w:w="4955" w:type="dxa"/>
            <w:tcBorders>
              <w:top w:val="nil"/>
              <w:left w:val="nil"/>
              <w:bottom w:val="nil"/>
              <w:right w:val="nil"/>
            </w:tcBorders>
          </w:tcPr>
          <w:p>
            <w:pPr>
              <w:pStyle w:val="Normal"/>
              <w:widowControl w:val="false"/>
              <w:suppressAutoHyphens w:val="true"/>
              <w:spacing w:before="0" w:after="0"/>
              <w:jc w:val="left"/>
              <w:rPr>
                <w:sz w:val="22"/>
                <w:szCs w:val="22"/>
              </w:rPr>
            </w:pPr>
            <w:r>
              <w:rPr>
                <w:rFonts w:eastAsia="Times New Roman" w:cs="Times New Roman"/>
                <w:kern w:val="0"/>
                <w:sz w:val="22"/>
                <w:szCs w:val="22"/>
                <w:lang w:val="ru-RU" w:eastAsia="ru-RU" w:bidi="ar-SA"/>
              </w:rPr>
              <w:t>Покупатель:</w:t>
            </w:r>
          </w:p>
          <w:p>
            <w:pPr>
              <w:pStyle w:val="Normal"/>
              <w:widowControl w:val="false"/>
              <w:suppressAutoHyphens w:val="true"/>
              <w:spacing w:before="0" w:after="0"/>
              <w:jc w:val="left"/>
              <w:rPr>
                <w:sz w:val="22"/>
                <w:szCs w:val="22"/>
              </w:rPr>
            </w:pPr>
            <w:r>
              <w:rPr>
                <w:rFonts w:eastAsia="Times New Roman" w:cs="Times New Roman"/>
                <w:kern w:val="0"/>
                <w:sz w:val="22"/>
                <w:szCs w:val="22"/>
                <w:lang w:val="ru-RU" w:eastAsia="ru-RU" w:bidi="ar-SA"/>
              </w:rPr>
            </w:r>
          </w:p>
          <w:p>
            <w:pPr>
              <w:pStyle w:val="Normal"/>
              <w:widowControl w:val="false"/>
              <w:suppressAutoHyphens w:val="true"/>
              <w:spacing w:before="0" w:after="0"/>
              <w:jc w:val="left"/>
              <w:rPr>
                <w:sz w:val="22"/>
                <w:szCs w:val="22"/>
              </w:rPr>
            </w:pPr>
            <w:r>
              <w:rPr>
                <w:rFonts w:eastAsia="Times New Roman" w:cs="Times New Roman"/>
                <w:kern w:val="0"/>
                <w:sz w:val="22"/>
                <w:szCs w:val="22"/>
                <w:lang w:val="ru-RU" w:eastAsia="ru-RU" w:bidi="ar-SA"/>
              </w:rPr>
            </w:r>
          </w:p>
        </w:tc>
        <w:tc>
          <w:tcPr>
            <w:tcW w:w="4955" w:type="dxa"/>
            <w:tcBorders>
              <w:top w:val="nil"/>
              <w:left w:val="nil"/>
              <w:bottom w:val="nil"/>
              <w:right w:val="nil"/>
            </w:tcBorders>
          </w:tcPr>
          <w:p>
            <w:pPr>
              <w:pStyle w:val="Normal"/>
              <w:widowControl w:val="false"/>
              <w:suppressAutoHyphens w:val="true"/>
              <w:spacing w:before="0" w:after="0"/>
              <w:jc w:val="left"/>
              <w:rPr>
                <w:sz w:val="22"/>
                <w:szCs w:val="22"/>
              </w:rPr>
            </w:pPr>
            <w:r>
              <w:rPr>
                <w:rFonts w:eastAsia="Times New Roman" w:cs="Times New Roman"/>
                <w:kern w:val="0"/>
                <w:sz w:val="22"/>
                <w:szCs w:val="22"/>
                <w:lang w:val="ru-RU" w:eastAsia="ru-RU" w:bidi="ar-SA"/>
              </w:rPr>
              <w:t>Поставщик:</w:t>
            </w:r>
          </w:p>
          <w:p>
            <w:pPr>
              <w:pStyle w:val="Normal"/>
              <w:widowControl w:val="false"/>
              <w:suppressAutoHyphens w:val="true"/>
              <w:spacing w:before="0" w:after="0"/>
              <w:jc w:val="left"/>
              <w:rPr>
                <w:sz w:val="22"/>
                <w:szCs w:val="22"/>
              </w:rPr>
            </w:pPr>
            <w:r>
              <w:rPr>
                <w:rFonts w:eastAsia="Times New Roman" w:cs="Times New Roman"/>
                <w:kern w:val="0"/>
                <w:sz w:val="22"/>
                <w:szCs w:val="22"/>
                <w:lang w:val="ru-RU" w:eastAsia="ru-RU" w:bidi="ar-SA"/>
              </w:rPr>
            </w:r>
          </w:p>
        </w:tc>
      </w:tr>
      <w:tr>
        <w:trPr/>
        <w:tc>
          <w:tcPr>
            <w:tcW w:w="4955" w:type="dxa"/>
            <w:tcBorders>
              <w:top w:val="nil"/>
              <w:left w:val="nil"/>
              <w:bottom w:val="nil"/>
              <w:right w:val="nil"/>
            </w:tcBorders>
          </w:tcPr>
          <w:p>
            <w:pPr>
              <w:pStyle w:val="Normal"/>
              <w:widowControl w:val="false"/>
              <w:suppressAutoHyphens w:val="true"/>
              <w:spacing w:before="0" w:after="0"/>
              <w:jc w:val="left"/>
              <w:rPr>
                <w:sz w:val="22"/>
                <w:szCs w:val="22"/>
              </w:rPr>
            </w:pPr>
            <w:r>
              <w:rPr>
                <w:rFonts w:eastAsia="Times New Roman" w:cs="Times New Roman"/>
                <w:kern w:val="0"/>
                <w:sz w:val="22"/>
                <w:szCs w:val="22"/>
                <w:lang w:val="ru-RU" w:eastAsia="ru-RU" w:bidi="ar-SA"/>
              </w:rPr>
              <w:t>_____________________/_____________</w:t>
            </w:r>
          </w:p>
          <w:p>
            <w:pPr>
              <w:pStyle w:val="Normal"/>
              <w:widowControl w:val="false"/>
              <w:suppressAutoHyphens w:val="true"/>
              <w:spacing w:before="0" w:after="0"/>
              <w:jc w:val="left"/>
              <w:rPr>
                <w:sz w:val="22"/>
                <w:szCs w:val="22"/>
              </w:rPr>
            </w:pPr>
            <w:r>
              <w:rPr>
                <w:rFonts w:eastAsia="Times New Roman" w:cs="Times New Roman"/>
                <w:kern w:val="0"/>
                <w:sz w:val="22"/>
                <w:szCs w:val="22"/>
                <w:lang w:val="ru-RU" w:eastAsia="ru-RU" w:bidi="ar-SA"/>
              </w:rPr>
            </w:r>
          </w:p>
        </w:tc>
        <w:tc>
          <w:tcPr>
            <w:tcW w:w="4955" w:type="dxa"/>
            <w:tcBorders>
              <w:top w:val="nil"/>
              <w:left w:val="nil"/>
              <w:bottom w:val="nil"/>
              <w:right w:val="nil"/>
            </w:tcBorders>
          </w:tcPr>
          <w:p>
            <w:pPr>
              <w:pStyle w:val="Normal"/>
              <w:widowControl w:val="false"/>
              <w:suppressAutoHyphens w:val="true"/>
              <w:spacing w:before="0" w:after="0"/>
              <w:jc w:val="left"/>
              <w:rPr>
                <w:sz w:val="22"/>
                <w:szCs w:val="22"/>
              </w:rPr>
            </w:pPr>
            <w:r>
              <w:rPr>
                <w:rFonts w:eastAsia="Times New Roman" w:cs="Times New Roman"/>
                <w:kern w:val="0"/>
                <w:sz w:val="22"/>
                <w:szCs w:val="22"/>
                <w:lang w:val="ru-RU" w:eastAsia="ru-RU" w:bidi="ar-SA"/>
              </w:rPr>
              <w:t>_____________________/_____________</w:t>
            </w:r>
          </w:p>
        </w:tc>
      </w:tr>
    </w:tbl>
    <w:p>
      <w:pPr>
        <w:pStyle w:val="Normal"/>
        <w:jc w:val="center"/>
        <w:rPr>
          <w:sz w:val="22"/>
          <w:szCs w:val="22"/>
        </w:rPr>
      </w:pPr>
      <w:r>
        <w:rPr/>
      </w:r>
    </w:p>
    <w:sectPr>
      <w:headerReference w:type="default" r:id="rId30"/>
      <w:footerReference w:type="default" r:id="rId31"/>
      <w:footnotePr>
        <w:numFmt w:val="decimal"/>
      </w:footnotePr>
      <w:type w:val="nextPage"/>
      <w:pgSz w:w="11906" w:h="16838"/>
      <w:pgMar w:left="1134" w:right="851" w:gutter="0" w:header="567" w:top="851" w:footer="709" w:bottom="2268"/>
      <w:pgNumType w:fmt="decimal"/>
      <w:formProt w:val="false"/>
      <w:textDirection w:val="lrTb"/>
      <w:docGrid w:type="default" w:linePitch="360" w:charSpace="4915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ambria">
    <w:charset w:val="01"/>
    <w:family w:val="roman"/>
    <w:pitch w:val="variable"/>
  </w:font>
  <w:font w:name="Liberation Sans">
    <w:altName w:val="Arial"/>
    <w:charset w:val="01"/>
    <w:family w:val="swiss"/>
    <w:pitch w:val="variable"/>
  </w:font>
  <w:font w:name="Courier New">
    <w:charset w:val="01"/>
    <w:family w:val="roman"/>
    <w:pitch w:val="variable"/>
  </w:font>
  <w:font w:name="Tahoma">
    <w:charset w:val="01"/>
    <w:family w:val="roman"/>
    <w:pitch w:val="variable"/>
  </w:font>
  <w:font w:name="Verdana">
    <w:charset w:val="01"/>
    <w:family w:val="roman"/>
    <w:pitch w:val="variable"/>
  </w:font>
  <w:font w:name="Calibri">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25</w:t>
    </w:r>
    <w:r>
      <w:rPr/>
      <w:fldChar w:fldCharType="end"/>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Style14"/>
        </w:rPr>
        <w:footnoteRef/>
      </w:r>
      <w:r>
        <w:rPr/>
        <w:t xml:space="preserve"> </w:t>
      </w:r>
      <w:r>
        <w:rPr/>
        <w:t>Включается в Договор в случае, если перемещение Товара осуществляется Поставщиком до подписания Сторонами Накладной ТОРГ-12.</w:t>
      </w:r>
    </w:p>
  </w:footnote>
  <w:footnote w:id="3">
    <w:p>
      <w:pPr>
        <w:pStyle w:val="FootnoteText"/>
        <w:jc w:val="both"/>
        <w:rPr/>
      </w:pPr>
      <w:r>
        <w:rPr>
          <w:rStyle w:val="Style14"/>
        </w:rPr>
        <w:footnoteRef/>
      </w:r>
      <w:r>
        <w:rPr>
          <w:highlight w:val="lightGray"/>
        </w:rPr>
        <w:t xml:space="preserve"> </w:t>
      </w:r>
      <w:r>
        <w:rPr>
          <w:highlight w:val="lightGray"/>
        </w:rPr>
        <w:t>Включается в Договор в случае, если перемещение Товара осуществляется Поставщиком до подписания Сторонами Накладной ТОРГ-12.</w:t>
      </w:r>
    </w:p>
  </w:footnote>
  <w:footnote w:id="4">
    <w:p>
      <w:pPr>
        <w:pStyle w:val="FootnoteText"/>
        <w:jc w:val="both"/>
        <w:rPr/>
      </w:pPr>
      <w:r>
        <w:rPr>
          <w:rStyle w:val="Style14"/>
        </w:rPr>
        <w:footnoteRef/>
      </w:r>
      <w:r>
        <w:rPr/>
        <w:t xml:space="preserve"> </w:t>
      </w:r>
      <w:r>
        <w:rPr/>
        <w:t>Указанное условие применяется к договорам поставки Товара, обеспечивающего производство и/или передачу (транспортировку) электрической энергии и мощности</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i/>
        <w:i/>
      </w:rPr>
    </w:pPr>
    <w:r>
      <w:rPr>
        <w:i/>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360"/>
        </w:tabs>
        <w:ind w:left="360" w:hanging="360"/>
      </w:pPr>
      <w:rPr/>
    </w:lvl>
    <w:lvl w:ilvl="1">
      <w:start w:val="1"/>
      <w:numFmt w:val="decimal"/>
      <w:lvlText w:val="%1.%2."/>
      <w:lvlJc w:val="left"/>
      <w:pPr>
        <w:tabs>
          <w:tab w:val="num" w:pos="2984"/>
        </w:tabs>
        <w:ind w:left="2984" w:hanging="432"/>
      </w:pPr>
      <w:rPr>
        <w:sz w:val="24"/>
        <w:b w:val="false"/>
        <w:szCs w:val="24"/>
      </w:rPr>
    </w:lvl>
    <w:lvl w:ilvl="2">
      <w:start w:val="1"/>
      <w:numFmt w:val="decimal"/>
      <w:lvlText w:val="%1.%2.%3."/>
      <w:lvlJc w:val="left"/>
      <w:pPr>
        <w:tabs>
          <w:tab w:val="num" w:pos="1855"/>
        </w:tabs>
        <w:ind w:left="1639" w:hanging="504"/>
      </w:pPr>
      <w:rPr/>
    </w:lvl>
    <w:lvl w:ilvl="3">
      <w:start w:val="1"/>
      <w:numFmt w:val="decimal"/>
      <w:lvlText w:val="%1.%2.%3.%4."/>
      <w:lvlJc w:val="left"/>
      <w:pPr>
        <w:tabs>
          <w:tab w:val="num" w:pos="2160"/>
        </w:tabs>
        <w:ind w:left="1728" w:hanging="648"/>
      </w:pPr>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3240"/>
        </w:tabs>
        <w:ind w:left="2736" w:hanging="936"/>
      </w:pPr>
      <w:rPr/>
    </w:lvl>
    <w:lvl w:ilvl="6">
      <w:start w:val="1"/>
      <w:numFmt w:val="decimal"/>
      <w:lvlText w:val="%1.%2.%3.%4.%5.%6.%7."/>
      <w:lvlJc w:val="left"/>
      <w:pPr>
        <w:tabs>
          <w:tab w:val="num" w:pos="3960"/>
        </w:tabs>
        <w:ind w:left="3240" w:hanging="1080"/>
      </w:pPr>
      <w:rPr/>
    </w:lvl>
    <w:lvl w:ilvl="7">
      <w:start w:val="1"/>
      <w:numFmt w:val="decimal"/>
      <w:lvlText w:val="%1.%2.%3.%4.%5.%6.%7.%8."/>
      <w:lvlJc w:val="left"/>
      <w:pPr>
        <w:tabs>
          <w:tab w:val="num" w:pos="4320"/>
        </w:tabs>
        <w:ind w:left="3744" w:hanging="1224"/>
      </w:pPr>
      <w:rPr/>
    </w:lvl>
    <w:lvl w:ilvl="8">
      <w:start w:val="1"/>
      <w:numFmt w:val="decimal"/>
      <w:lvlText w:val="%1.%2.%3.%4.%5.%6.%7.%8.%9."/>
      <w:lvlJc w:val="left"/>
      <w:pPr>
        <w:tabs>
          <w:tab w:val="num" w:pos="5040"/>
        </w:tabs>
        <w:ind w:left="4320" w:hanging="1440"/>
      </w:pPr>
      <w:rPr/>
    </w:lvl>
  </w:abstractNum>
  <w:abstractNum w:abstractNumId="3">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4"/>
      <w:numFmt w:val="decimal"/>
      <w:lvlText w:val="%1"/>
      <w:lvlJc w:val="left"/>
      <w:pPr>
        <w:tabs>
          <w:tab w:val="num" w:pos="0"/>
        </w:tabs>
        <w:ind w:left="360" w:hanging="360"/>
      </w:pPr>
      <w:rPr/>
    </w:lvl>
    <w:lvl w:ilvl="1">
      <w:start w:val="7"/>
      <w:numFmt w:val="decimal"/>
      <w:lvlText w:val="%1.%2"/>
      <w:lvlJc w:val="left"/>
      <w:pPr>
        <w:tabs>
          <w:tab w:val="num" w:pos="0"/>
        </w:tabs>
        <w:ind w:left="1779" w:hanging="360"/>
      </w:pPr>
      <w:rPr/>
    </w:lvl>
    <w:lvl w:ilvl="2">
      <w:start w:val="1"/>
      <w:numFmt w:val="decimal"/>
      <w:lvlText w:val="%1.%2.%3"/>
      <w:lvlJc w:val="left"/>
      <w:pPr>
        <w:tabs>
          <w:tab w:val="num" w:pos="0"/>
        </w:tabs>
        <w:ind w:left="3558" w:hanging="720"/>
      </w:pPr>
      <w:rPr/>
    </w:lvl>
    <w:lvl w:ilvl="3">
      <w:start w:val="1"/>
      <w:numFmt w:val="decimal"/>
      <w:lvlText w:val="%1.%2.%3.%4"/>
      <w:lvlJc w:val="left"/>
      <w:pPr>
        <w:tabs>
          <w:tab w:val="num" w:pos="0"/>
        </w:tabs>
        <w:ind w:left="4977" w:hanging="720"/>
      </w:pPr>
      <w:rPr/>
    </w:lvl>
    <w:lvl w:ilvl="4">
      <w:start w:val="1"/>
      <w:numFmt w:val="decimal"/>
      <w:lvlText w:val="%1.%2.%3.%4.%5"/>
      <w:lvlJc w:val="left"/>
      <w:pPr>
        <w:tabs>
          <w:tab w:val="num" w:pos="0"/>
        </w:tabs>
        <w:ind w:left="6756" w:hanging="1080"/>
      </w:pPr>
      <w:rPr/>
    </w:lvl>
    <w:lvl w:ilvl="5">
      <w:start w:val="1"/>
      <w:numFmt w:val="decimal"/>
      <w:lvlText w:val="%1.%2.%3.%4.%5.%6"/>
      <w:lvlJc w:val="left"/>
      <w:pPr>
        <w:tabs>
          <w:tab w:val="num" w:pos="0"/>
        </w:tabs>
        <w:ind w:left="8175" w:hanging="1080"/>
      </w:pPr>
      <w:rPr/>
    </w:lvl>
    <w:lvl w:ilvl="6">
      <w:start w:val="1"/>
      <w:numFmt w:val="decimal"/>
      <w:lvlText w:val="%1.%2.%3.%4.%5.%6.%7"/>
      <w:lvlJc w:val="left"/>
      <w:pPr>
        <w:tabs>
          <w:tab w:val="num" w:pos="0"/>
        </w:tabs>
        <w:ind w:left="9954" w:hanging="1440"/>
      </w:pPr>
      <w:rPr/>
    </w:lvl>
    <w:lvl w:ilvl="7">
      <w:start w:val="1"/>
      <w:numFmt w:val="decimal"/>
      <w:lvlText w:val="%1.%2.%3.%4.%5.%6.%7.%8"/>
      <w:lvlJc w:val="left"/>
      <w:pPr>
        <w:tabs>
          <w:tab w:val="num" w:pos="0"/>
        </w:tabs>
        <w:ind w:left="11373" w:hanging="1440"/>
      </w:pPr>
      <w:rPr/>
    </w:lvl>
    <w:lvl w:ilvl="8">
      <w:start w:val="1"/>
      <w:numFmt w:val="decimal"/>
      <w:lvlText w:val="%1.%2.%3.%4.%5.%6.%7.%8.%9"/>
      <w:lvlJc w:val="left"/>
      <w:pPr>
        <w:tabs>
          <w:tab w:val="num" w:pos="0"/>
        </w:tabs>
        <w:ind w:left="13152" w:hanging="1800"/>
      </w:pPr>
      <w:rPr/>
    </w:lvl>
  </w:abstractNum>
  <w:abstractNum w:abstractNumId="9">
    <w:lvl w:ilvl="0">
      <w:start w:val="1"/>
      <w:numFmt w:val="bullet"/>
      <w:lvlText w:val=""/>
      <w:lvlJc w:val="left"/>
      <w:pPr>
        <w:tabs>
          <w:tab w:val="num" w:pos="1353"/>
        </w:tabs>
        <w:ind w:left="1353"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uiPriority="99"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b206e"/>
    <w:pPr>
      <w:widowControl w:val="false"/>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ing1">
    <w:name w:val="Heading 1"/>
    <w:basedOn w:val="Normal"/>
    <w:next w:val="Normal"/>
    <w:qFormat/>
    <w:rsid w:val="00a264b0"/>
    <w:pPr>
      <w:keepNext w:val="true"/>
      <w:spacing w:before="240" w:after="60"/>
      <w:outlineLvl w:val="0"/>
    </w:pPr>
    <w:rPr>
      <w:rFonts w:ascii="Arial" w:hAnsi="Arial" w:cs="Arial"/>
      <w:b/>
      <w:bCs/>
      <w:kern w:val="2"/>
      <w:sz w:val="32"/>
      <w:szCs w:val="32"/>
    </w:rPr>
  </w:style>
  <w:style w:type="paragraph" w:styleId="Heading3">
    <w:name w:val="Heading 3"/>
    <w:basedOn w:val="Normal"/>
    <w:next w:val="Normal"/>
    <w:link w:val="31"/>
    <w:qFormat/>
    <w:rsid w:val="001b1bd9"/>
    <w:pPr>
      <w:keepNext w:val="true"/>
      <w:keepLines/>
      <w:spacing w:before="200" w:after="0"/>
      <w:outlineLvl w:val="2"/>
    </w:pPr>
    <w:rPr>
      <w:rFonts w:ascii="Cambria" w:hAnsi="Cambria"/>
      <w:b/>
      <w:bCs/>
      <w:color w:val="4F81BD"/>
      <w:lang w:val="x-none" w:eastAsia="x-none"/>
    </w:rPr>
  </w:style>
  <w:style w:type="character" w:styleId="DefaultParagraphFont" w:default="1">
    <w:name w:val="Default Paragraph Font"/>
    <w:uiPriority w:val="1"/>
    <w:semiHidden/>
    <w:unhideWhenUsed/>
    <w:qFormat/>
    <w:rPr/>
  </w:style>
  <w:style w:type="character" w:styleId="Style7" w:customStyle="1">
    <w:name w:val="Заголовок Знак"/>
    <w:qFormat/>
    <w:locked/>
    <w:rsid w:val="00565582"/>
    <w:rPr>
      <w:b/>
      <w:bCs/>
      <w:sz w:val="24"/>
      <w:szCs w:val="24"/>
      <w:lang w:val="ru-RU" w:eastAsia="ru-RU" w:bidi="ar-SA"/>
    </w:rPr>
  </w:style>
  <w:style w:type="character" w:styleId="Style8" w:customStyle="1">
    <w:name w:val="Основной текст Знак"/>
    <w:qFormat/>
    <w:rsid w:val="00565582"/>
    <w:rPr>
      <w:lang w:val="ru-RU" w:eastAsia="ru-RU" w:bidi="ar-SA"/>
    </w:rPr>
  </w:style>
  <w:style w:type="character" w:styleId="Pagenumber">
    <w:name w:val="page number"/>
    <w:basedOn w:val="DefaultParagraphFont"/>
    <w:qFormat/>
    <w:rsid w:val="008b02a1"/>
    <w:rPr/>
  </w:style>
  <w:style w:type="character" w:styleId="3" w:customStyle="1">
    <w:name w:val="Основной текст 3 Знак"/>
    <w:link w:val="BodyText3"/>
    <w:qFormat/>
    <w:rsid w:val="005a0965"/>
    <w:rPr>
      <w:sz w:val="16"/>
      <w:szCs w:val="16"/>
    </w:rPr>
  </w:style>
  <w:style w:type="character" w:styleId="Annotationreference">
    <w:name w:val="annotation reference"/>
    <w:qFormat/>
    <w:rsid w:val="00d36934"/>
    <w:rPr>
      <w:sz w:val="16"/>
      <w:szCs w:val="16"/>
    </w:rPr>
  </w:style>
  <w:style w:type="character" w:styleId="Style9" w:customStyle="1">
    <w:name w:val="Текст примечания Знак"/>
    <w:basedOn w:val="DefaultParagraphFont"/>
    <w:link w:val="Annotationtext"/>
    <w:qFormat/>
    <w:rsid w:val="00d36934"/>
    <w:rPr/>
  </w:style>
  <w:style w:type="character" w:styleId="Style10" w:customStyle="1">
    <w:name w:val="Тема примечания Знак"/>
    <w:link w:val="Annotationsubject"/>
    <w:qFormat/>
    <w:rsid w:val="00d36934"/>
    <w:rPr>
      <w:b/>
      <w:bCs/>
    </w:rPr>
  </w:style>
  <w:style w:type="character" w:styleId="31" w:customStyle="1">
    <w:name w:val="Заголовок 3 Знак"/>
    <w:semiHidden/>
    <w:qFormat/>
    <w:rsid w:val="001b1bd9"/>
    <w:rPr>
      <w:rFonts w:ascii="Cambria" w:hAnsi="Cambria" w:eastAsia="Times New Roman" w:cs="Times New Roman"/>
      <w:b/>
      <w:bCs/>
      <w:color w:val="4F81BD"/>
    </w:rPr>
  </w:style>
  <w:style w:type="character" w:styleId="Style11" w:customStyle="1">
    <w:name w:val="Основной текст с отступом Знак"/>
    <w:basedOn w:val="DefaultParagraphFont"/>
    <w:qFormat/>
    <w:rsid w:val="00e00bca"/>
    <w:rPr/>
  </w:style>
  <w:style w:type="character" w:styleId="Style12" w:customStyle="1">
    <w:name w:val="комментарий"/>
    <w:uiPriority w:val="99"/>
    <w:qFormat/>
    <w:rsid w:val="00d562c0"/>
    <w:rPr>
      <w:rFonts w:cs="Times New Roman"/>
      <w:b/>
      <w:bCs/>
      <w:i/>
      <w:iCs/>
      <w:shd w:fill="FFFF99" w:val="clear"/>
    </w:rPr>
  </w:style>
  <w:style w:type="character" w:styleId="Style13" w:customStyle="1">
    <w:name w:val="Текст сноски Знак"/>
    <w:basedOn w:val="DefaultParagraphFont"/>
    <w:uiPriority w:val="99"/>
    <w:qFormat/>
    <w:rsid w:val="00f47c6a"/>
    <w:rPr/>
  </w:style>
  <w:style w:type="character" w:styleId="Style14" w:customStyle="1">
    <w:name w:val="Символ сноски"/>
    <w:qFormat/>
    <w:rsid w:val="00f47c6a"/>
    <w:rPr>
      <w:vertAlign w:val="superscript"/>
    </w:rPr>
  </w:style>
  <w:style w:type="character" w:styleId="FootnoteReference">
    <w:name w:val="Footnote Reference"/>
    <w:rPr>
      <w:vertAlign w:val="superscript"/>
    </w:rPr>
  </w:style>
  <w:style w:type="character" w:styleId="Style15" w:customStyle="1">
    <w:name w:val="Верхний колонтитул Знак"/>
    <w:basedOn w:val="DefaultParagraphFont"/>
    <w:uiPriority w:val="99"/>
    <w:qFormat/>
    <w:rsid w:val="000449a5"/>
    <w:rPr/>
  </w:style>
  <w:style w:type="character" w:styleId="Hyperlink">
    <w:name w:val="Hyperlink"/>
    <w:rsid w:val="005e6f32"/>
    <w:rPr>
      <w:color w:val="0000FF"/>
      <w:u w:val="single"/>
    </w:rPr>
  </w:style>
  <w:style w:type="character" w:styleId="Style16" w:customStyle="1">
    <w:name w:val="Нижний колонтитул Знак"/>
    <w:uiPriority w:val="99"/>
    <w:qFormat/>
    <w:rsid w:val="00d925fb"/>
    <w:rPr/>
  </w:style>
  <w:style w:type="character" w:styleId="Style17" w:customStyle="1">
    <w:name w:val="Абзац списка Знак"/>
    <w:link w:val="ListParagraph"/>
    <w:uiPriority w:val="34"/>
    <w:qFormat/>
    <w:locked/>
    <w:rsid w:val="00182860"/>
    <w:rPr/>
  </w:style>
  <w:style w:type="character" w:styleId="FollowedHyperlink">
    <w:name w:val="FollowedHyperlink"/>
    <w:rPr>
      <w:color w:val="800000"/>
      <w:u w:val="single"/>
    </w:rPr>
  </w:style>
  <w:style w:type="character" w:styleId="Style18" w:customStyle="1">
    <w:name w:val="Символ концевой сноски"/>
    <w:qFormat/>
    <w:rPr>
      <w:vertAlign w:val="superscript"/>
    </w:rPr>
  </w:style>
  <w:style w:type="character" w:styleId="EndnoteReference">
    <w:name w:val="Endnote Reference"/>
    <w:rPr>
      <w:vertAlign w:val="superscript"/>
    </w:rPr>
  </w:style>
  <w:style w:type="paragraph" w:styleId="Style19">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link w:val="Style8"/>
    <w:rsid w:val="00084bde"/>
    <w:pPr>
      <w:spacing w:before="0" w:after="120"/>
    </w:pPr>
    <w:rPr/>
  </w:style>
  <w:style w:type="paragraph" w:styleId="List">
    <w:name w:val="List"/>
    <w:basedOn w:val="BodyText"/>
    <w:pPr/>
    <w:rPr/>
  </w:style>
  <w:style w:type="paragraph" w:styleId="Caption">
    <w:name w:val="Caption"/>
    <w:basedOn w:val="Normal"/>
    <w:qFormat/>
    <w:pPr>
      <w:suppressLineNumbers/>
      <w:spacing w:before="120" w:after="120"/>
    </w:pPr>
    <w:rPr>
      <w:rFonts w:cs="Arial Unicode MS"/>
      <w:i/>
      <w:iCs/>
      <w:sz w:val="24"/>
      <w:szCs w:val="24"/>
    </w:rPr>
  </w:style>
  <w:style w:type="paragraph" w:styleId="Style20">
    <w:name w:val="Указатель"/>
    <w:basedOn w:val="Normal"/>
    <w:qFormat/>
    <w:pPr>
      <w:suppressLineNumbers/>
    </w:pPr>
    <w:rPr>
      <w:rFonts w:cs="Arial Unicode MS"/>
    </w:rPr>
  </w:style>
  <w:style w:type="paragraph" w:styleId="Title">
    <w:name w:val="Title"/>
    <w:basedOn w:val="Normal"/>
    <w:next w:val="BodyText"/>
    <w:link w:val="Style7"/>
    <w:qFormat/>
    <w:rsid w:val="00a264b0"/>
    <w:pPr>
      <w:jc w:val="center"/>
    </w:pPr>
    <w:rPr>
      <w:b/>
      <w:bCs/>
      <w:sz w:val="24"/>
      <w:szCs w:val="24"/>
    </w:rPr>
  </w:style>
  <w:style w:type="paragraph" w:styleId="Caption1">
    <w:name w:val="caption1"/>
    <w:basedOn w:val="Normal"/>
    <w:qFormat/>
    <w:pPr>
      <w:suppressLineNumbers/>
      <w:spacing w:before="120" w:after="120"/>
    </w:pPr>
    <w:rPr>
      <w:rFonts w:cs="Arial Unicode MS"/>
      <w:i/>
      <w:iCs/>
      <w:sz w:val="24"/>
      <w:szCs w:val="24"/>
    </w:rPr>
  </w:style>
  <w:style w:type="paragraph" w:styleId="Indexheading">
    <w:name w:val="index heading"/>
    <w:basedOn w:val="Normal"/>
    <w:qFormat/>
    <w:pPr>
      <w:suppressLineNumbers/>
    </w:pPr>
    <w:rPr/>
  </w:style>
  <w:style w:type="paragraph" w:styleId="Caption11" w:customStyle="1">
    <w:name w:val="caption11"/>
    <w:basedOn w:val="Normal"/>
    <w:qFormat/>
    <w:pPr>
      <w:suppressLineNumbers/>
      <w:spacing w:before="120" w:after="120"/>
    </w:pPr>
    <w:rPr>
      <w:i/>
      <w:iCs/>
      <w:sz w:val="24"/>
      <w:szCs w:val="24"/>
    </w:rPr>
  </w:style>
  <w:style w:type="paragraph" w:styleId="Caption111" w:customStyle="1">
    <w:name w:val="caption111"/>
    <w:basedOn w:val="Normal"/>
    <w:qFormat/>
    <w:pPr>
      <w:suppressLineNumbers/>
      <w:spacing w:before="120" w:after="120"/>
    </w:pPr>
    <w:rPr>
      <w:i/>
      <w:iCs/>
      <w:sz w:val="24"/>
      <w:szCs w:val="24"/>
    </w:rPr>
  </w:style>
  <w:style w:type="paragraph" w:styleId="Caption1111" w:customStyle="1">
    <w:name w:val="caption1111"/>
    <w:basedOn w:val="Normal"/>
    <w:qFormat/>
    <w:pPr>
      <w:suppressLineNumbers/>
      <w:spacing w:before="120" w:after="120"/>
    </w:pPr>
    <w:rPr>
      <w:i/>
      <w:iCs/>
      <w:sz w:val="24"/>
      <w:szCs w:val="24"/>
    </w:rPr>
  </w:style>
  <w:style w:type="paragraph" w:styleId="Caption11111" w:customStyle="1">
    <w:name w:val="caption11111"/>
    <w:basedOn w:val="Normal"/>
    <w:qFormat/>
    <w:pPr>
      <w:suppressLineNumbers/>
      <w:spacing w:before="120" w:after="120"/>
    </w:pPr>
    <w:rPr>
      <w:i/>
      <w:iCs/>
      <w:sz w:val="24"/>
      <w:szCs w:val="24"/>
    </w:rPr>
  </w:style>
  <w:style w:type="paragraph" w:styleId="Style21" w:customStyle="1">
    <w:name w:val="Таблицы (моноширинный)"/>
    <w:basedOn w:val="Normal"/>
    <w:next w:val="Normal"/>
    <w:qFormat/>
    <w:rsid w:val="00a264b0"/>
    <w:pPr>
      <w:jc w:val="both"/>
    </w:pPr>
    <w:rPr>
      <w:rFonts w:ascii="Courier New" w:hAnsi="Courier New" w:cs="Courier New"/>
    </w:rPr>
  </w:style>
  <w:style w:type="paragraph" w:styleId="BodyTextIndent2">
    <w:name w:val="Body Text Indent 2"/>
    <w:basedOn w:val="Normal"/>
    <w:qFormat/>
    <w:rsid w:val="00a264b0"/>
    <w:pPr>
      <w:ind w:left="1843" w:hanging="0"/>
      <w:jc w:val="both"/>
    </w:pPr>
    <w:rPr>
      <w:sz w:val="24"/>
    </w:rPr>
  </w:style>
  <w:style w:type="paragraph" w:styleId="BalloonText">
    <w:name w:val="Balloon Text"/>
    <w:basedOn w:val="Normal"/>
    <w:semiHidden/>
    <w:qFormat/>
    <w:rsid w:val="00080acb"/>
    <w:pPr/>
    <w:rPr>
      <w:rFonts w:ascii="Tahoma" w:hAnsi="Tahoma" w:cs="Tahoma"/>
      <w:sz w:val="16"/>
      <w:szCs w:val="16"/>
    </w:rPr>
  </w:style>
  <w:style w:type="paragraph" w:styleId="BodyText2">
    <w:name w:val="Body Text 2"/>
    <w:basedOn w:val="Normal"/>
    <w:qFormat/>
    <w:rsid w:val="006257f9"/>
    <w:pPr>
      <w:widowControl/>
      <w:spacing w:lineRule="auto" w:line="480" w:before="0" w:after="120"/>
    </w:pPr>
    <w:rPr>
      <w:sz w:val="24"/>
      <w:szCs w:val="24"/>
    </w:rPr>
  </w:style>
  <w:style w:type="paragraph" w:styleId="Style22" w:customStyle="1">
    <w:name w:val="Колонтитул"/>
    <w:basedOn w:val="Normal"/>
    <w:qFormat/>
    <w:pPr/>
    <w:rPr/>
  </w:style>
  <w:style w:type="paragraph" w:styleId="Footer">
    <w:name w:val="Footer"/>
    <w:basedOn w:val="Normal"/>
    <w:link w:val="Style16"/>
    <w:uiPriority w:val="99"/>
    <w:rsid w:val="008b02a1"/>
    <w:pPr>
      <w:tabs>
        <w:tab w:val="clear" w:pos="708"/>
        <w:tab w:val="center" w:pos="4677" w:leader="none"/>
        <w:tab w:val="right" w:pos="9355" w:leader="none"/>
      </w:tabs>
    </w:pPr>
    <w:rPr/>
  </w:style>
  <w:style w:type="paragraph" w:styleId="BodyText3">
    <w:name w:val="Body Text 3"/>
    <w:basedOn w:val="Normal"/>
    <w:link w:val="3"/>
    <w:qFormat/>
    <w:rsid w:val="005a0965"/>
    <w:pPr>
      <w:spacing w:before="0" w:after="120"/>
    </w:pPr>
    <w:rPr>
      <w:sz w:val="16"/>
      <w:szCs w:val="16"/>
      <w:lang w:val="x-none" w:eastAsia="x-none"/>
    </w:rPr>
  </w:style>
  <w:style w:type="paragraph" w:styleId="Annotationtext">
    <w:name w:val="annotation text"/>
    <w:basedOn w:val="Normal"/>
    <w:link w:val="Style9"/>
    <w:qFormat/>
    <w:rsid w:val="00d36934"/>
    <w:pPr/>
    <w:rPr/>
  </w:style>
  <w:style w:type="paragraph" w:styleId="Annotationsubject">
    <w:name w:val="annotation subject"/>
    <w:basedOn w:val="Annotationtext"/>
    <w:next w:val="Annotationtext"/>
    <w:link w:val="Style10"/>
    <w:qFormat/>
    <w:rsid w:val="00d36934"/>
    <w:pPr/>
    <w:rPr>
      <w:b/>
      <w:bCs/>
      <w:lang w:val="x-none" w:eastAsia="x-none"/>
    </w:rPr>
  </w:style>
  <w:style w:type="paragraph" w:styleId="ListParagraph">
    <w:name w:val="List Paragraph"/>
    <w:basedOn w:val="Normal"/>
    <w:link w:val="Style17"/>
    <w:uiPriority w:val="34"/>
    <w:qFormat/>
    <w:rsid w:val="00ec6e7d"/>
    <w:pPr>
      <w:spacing w:before="0" w:after="0"/>
      <w:ind w:left="720" w:hanging="0"/>
      <w:contextualSpacing/>
    </w:pPr>
    <w:rPr/>
  </w:style>
  <w:style w:type="paragraph" w:styleId="Style23" w:customStyle="1">
    <w:name w:val="Знак Знак Знак Знак Знак Знак Знак Знак Знак"/>
    <w:basedOn w:val="Normal"/>
    <w:uiPriority w:val="99"/>
    <w:qFormat/>
    <w:rsid w:val="00d31bfd"/>
    <w:pPr>
      <w:widowControl/>
      <w:spacing w:lineRule="exact" w:line="240" w:before="0" w:after="160"/>
      <w:jc w:val="both"/>
    </w:pPr>
    <w:rPr>
      <w:rFonts w:ascii="Verdana" w:hAnsi="Verdana"/>
      <w:sz w:val="22"/>
      <w:lang w:val="en-US" w:eastAsia="en-US"/>
    </w:rPr>
  </w:style>
  <w:style w:type="paragraph" w:styleId="Style24" w:customStyle="1">
    <w:name w:val="Подпункт договора"/>
    <w:basedOn w:val="Normal"/>
    <w:qFormat/>
    <w:rsid w:val="00d31bfd"/>
    <w:pPr>
      <w:widowControl/>
      <w:tabs>
        <w:tab w:val="clear" w:pos="708"/>
        <w:tab w:val="left" w:pos="360" w:leader="none"/>
      </w:tabs>
      <w:jc w:val="both"/>
    </w:pPr>
    <w:rPr>
      <w:rFonts w:ascii="Arial" w:hAnsi="Arial"/>
    </w:rPr>
  </w:style>
  <w:style w:type="paragraph" w:styleId="ConsNormal" w:customStyle="1">
    <w:name w:val="ConsNormal"/>
    <w:qFormat/>
    <w:rsid w:val="00b53021"/>
    <w:pPr>
      <w:widowControl/>
      <w:suppressAutoHyphens w:val="true"/>
      <w:bidi w:val="0"/>
      <w:spacing w:before="0" w:after="0"/>
      <w:ind w:right="19772" w:firstLine="720"/>
      <w:jc w:val="left"/>
    </w:pPr>
    <w:rPr>
      <w:rFonts w:ascii="Arial" w:hAnsi="Arial" w:eastAsia="Times New Roman" w:cs="Times New Roman"/>
      <w:color w:val="auto"/>
      <w:kern w:val="0"/>
      <w:sz w:val="32"/>
      <w:szCs w:val="20"/>
      <w:lang w:eastAsia="en-US" w:val="ru-RU" w:bidi="ar-SA"/>
    </w:rPr>
  </w:style>
  <w:style w:type="paragraph" w:styleId="BodyTextIndent">
    <w:name w:val="Body Text Indent"/>
    <w:basedOn w:val="Normal"/>
    <w:link w:val="Style11"/>
    <w:rsid w:val="00e00bca"/>
    <w:pPr>
      <w:spacing w:before="0" w:after="120"/>
      <w:ind w:left="283" w:hanging="0"/>
    </w:pPr>
    <w:rPr/>
  </w:style>
  <w:style w:type="paragraph" w:styleId="Style25" w:customStyle="1">
    <w:name w:val="Знак"/>
    <w:basedOn w:val="Normal"/>
    <w:qFormat/>
    <w:rsid w:val="00d562c0"/>
    <w:pPr>
      <w:widowControl/>
      <w:spacing w:lineRule="exact" w:line="240" w:before="0" w:after="160"/>
    </w:pPr>
    <w:rPr>
      <w:rFonts w:ascii="Verdana" w:hAnsi="Verdana" w:cs="Verdana"/>
      <w:lang w:val="en-US" w:eastAsia="en-US"/>
    </w:rPr>
  </w:style>
  <w:style w:type="paragraph" w:styleId="FootnoteText">
    <w:name w:val="Footnote Text"/>
    <w:basedOn w:val="Normal"/>
    <w:link w:val="Style13"/>
    <w:uiPriority w:val="99"/>
    <w:rsid w:val="00f47c6a"/>
    <w:pPr/>
    <w:rPr/>
  </w:style>
  <w:style w:type="paragraph" w:styleId="ListBullet3">
    <w:name w:val="List Bullet 3"/>
    <w:basedOn w:val="Normal"/>
    <w:uiPriority w:val="99"/>
    <w:unhideWhenUsed/>
    <w:qFormat/>
    <w:rsid w:val="00fa3bf9"/>
    <w:pPr>
      <w:widowControl/>
      <w:tabs>
        <w:tab w:val="clear" w:pos="708"/>
        <w:tab w:val="left" w:pos="1418" w:leader="none"/>
      </w:tabs>
      <w:spacing w:lineRule="auto" w:line="360" w:before="120" w:after="0"/>
      <w:ind w:firstLine="720"/>
      <w:jc w:val="both"/>
    </w:pPr>
    <w:rPr>
      <w:rFonts w:eastAsia="Calibri"/>
      <w:i/>
      <w:iCs/>
      <w:sz w:val="24"/>
      <w:szCs w:val="24"/>
    </w:rPr>
  </w:style>
  <w:style w:type="paragraph" w:styleId="-" w:customStyle="1">
    <w:name w:val="Контракт-пункт"/>
    <w:basedOn w:val="Normal"/>
    <w:qFormat/>
    <w:rsid w:val="00fa3bf9"/>
    <w:pPr>
      <w:widowControl/>
      <w:tabs>
        <w:tab w:val="clear" w:pos="708"/>
        <w:tab w:val="left" w:pos="851" w:leader="none"/>
      </w:tabs>
      <w:spacing w:lineRule="auto" w:line="360"/>
      <w:ind w:left="851" w:hanging="851"/>
      <w:jc w:val="both"/>
    </w:pPr>
    <w:rPr>
      <w:rFonts w:eastAsia="Calibri"/>
      <w:sz w:val="28"/>
      <w:szCs w:val="28"/>
    </w:rPr>
  </w:style>
  <w:style w:type="paragraph" w:styleId="DocumentMap">
    <w:name w:val="Document Map"/>
    <w:basedOn w:val="Normal"/>
    <w:semiHidden/>
    <w:qFormat/>
    <w:rsid w:val="00936d2a"/>
    <w:pPr>
      <w:shd w:val="clear" w:color="auto" w:fill="000080"/>
    </w:pPr>
    <w:rPr>
      <w:rFonts w:ascii="Tahoma" w:hAnsi="Tahoma" w:cs="Tahoma"/>
    </w:rPr>
  </w:style>
  <w:style w:type="paragraph" w:styleId="Revision">
    <w:name w:val="Revision"/>
    <w:uiPriority w:val="99"/>
    <w:semiHidden/>
    <w:qFormat/>
    <w:rsid w:val="00f2582e"/>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er">
    <w:name w:val="Header"/>
    <w:basedOn w:val="Normal"/>
    <w:link w:val="Style15"/>
    <w:uiPriority w:val="99"/>
    <w:rsid w:val="000449a5"/>
    <w:pPr>
      <w:tabs>
        <w:tab w:val="clear" w:pos="708"/>
        <w:tab w:val="center" w:pos="4677" w:leader="none"/>
        <w:tab w:val="right" w:pos="9355" w:leader="none"/>
      </w:tabs>
    </w:pPr>
    <w:rPr/>
  </w:style>
  <w:style w:type="paragraph" w:styleId="Style26" w:customStyle="1">
    <w:name w:val="Пункт договора"/>
    <w:basedOn w:val="Normal"/>
    <w:qFormat/>
    <w:rsid w:val="00e65842"/>
    <w:pPr>
      <w:jc w:val="both"/>
    </w:pPr>
    <w:rPr>
      <w:rFonts w:ascii="Arial" w:hAnsi="Arial"/>
    </w:rPr>
  </w:style>
  <w:style w:type="paragraph" w:styleId="1" w:customStyle="1">
    <w:name w:val="Знак Знак Знак Знак Знак Знак Знак Знак Знак1"/>
    <w:basedOn w:val="Normal"/>
    <w:qFormat/>
    <w:rsid w:val="007d41d8"/>
    <w:pPr>
      <w:widowControl/>
      <w:spacing w:lineRule="exact" w:line="240" w:before="0" w:after="160"/>
      <w:jc w:val="both"/>
    </w:pPr>
    <w:rPr>
      <w:rFonts w:ascii="Verdana" w:hAnsi="Verdana"/>
      <w:sz w:val="22"/>
      <w:lang w:val="en-US" w:eastAsia="en-US"/>
    </w:rPr>
  </w:style>
  <w:style w:type="paragraph" w:styleId="11" w:customStyle="1">
    <w:name w:val="Обычный1"/>
    <w:qFormat/>
    <w:rsid w:val="0073039c"/>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ConsPlusNormal" w:customStyle="1">
    <w:name w:val="ConsPlusNormal"/>
    <w:qFormat/>
    <w:rsid w:val="00a510bb"/>
    <w:pPr>
      <w:widowControl w:val="false"/>
      <w:suppressAutoHyphens w:val="true"/>
      <w:bidi w:val="0"/>
      <w:spacing w:before="0" w:after="0"/>
      <w:jc w:val="left"/>
    </w:pPr>
    <w:rPr>
      <w:rFonts w:ascii="Calibri" w:hAnsi="Calibri" w:cs="Calibri" w:eastAsia="Times New Roman"/>
      <w:color w:val="auto"/>
      <w:kern w:val="0"/>
      <w:sz w:val="22"/>
      <w:szCs w:val="20"/>
      <w:lang w:val="ru-RU" w:eastAsia="ru-RU" w:bidi="ar-SA"/>
    </w:rPr>
  </w:style>
  <w:style w:type="paragraph" w:styleId="EndnoteText">
    <w:name w:val="Endnote Text"/>
    <w:basedOn w:val="Normal"/>
    <w:pPr>
      <w:suppressLineNumbers/>
      <w:ind w:left="340" w:hanging="340"/>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b">
    <w:name w:val="Table Grid"/>
    <w:basedOn w:val="a1"/>
    <w:rsid w:val="00084bd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ld@rushydro.ru" TargetMode="External"/><Relationship Id="rId3" Type="http://schemas.openxmlformats.org/officeDocument/2006/relationships/hyperlink" Target="consultantplus://offline/ref=94D5CE8889791A29DE57299515463A9D6134D8237B999C803E6F853513x2A2P" TargetMode="External"/><Relationship Id="rId4" Type="http://schemas.openxmlformats.org/officeDocument/2006/relationships/hyperlink" Target="consultantplus://offline/ref=94D5CE8889791A29DE57299515463A9D6135D2287D929C803E6F853513x2A2P" TargetMode="External"/><Relationship Id="rId5" Type="http://schemas.openxmlformats.org/officeDocument/2006/relationships/hyperlink" Target="consultantplus://offline/ref=79440D5123ABA6A25F43346AB59DBAAC7032C8E1556DA64FAED62E167F76889C2B7C475C32EFC59BJ8rDH" TargetMode="External"/><Relationship Id="rId6" Type="http://schemas.openxmlformats.org/officeDocument/2006/relationships/image" Target="media/image1.png"/><Relationship Id="rId7" Type="http://schemas.openxmlformats.org/officeDocument/2006/relationships/image" Target="media/image2.wmf"/><Relationship Id="rId8" Type="http://schemas.openxmlformats.org/officeDocument/2006/relationships/image" Target="media/image3.wmf"/><Relationship Id="rId9" Type="http://schemas.openxmlformats.org/officeDocument/2006/relationships/image" Target="media/image4.wmf"/><Relationship Id="rId10" Type="http://schemas.openxmlformats.org/officeDocument/2006/relationships/image" Target="media/image5.wmf"/><Relationship Id="rId11" Type="http://schemas.openxmlformats.org/officeDocument/2006/relationships/image" Target="media/image6.wmf"/><Relationship Id="rId12" Type="http://schemas.openxmlformats.org/officeDocument/2006/relationships/image" Target="media/image7.wmf"/><Relationship Id="rId13" Type="http://schemas.openxmlformats.org/officeDocument/2006/relationships/image" Target="media/image8.wmf"/><Relationship Id="rId14" Type="http://schemas.openxmlformats.org/officeDocument/2006/relationships/image" Target="media/image9.wmf"/><Relationship Id="rId15" Type="http://schemas.openxmlformats.org/officeDocument/2006/relationships/image" Target="media/image10.wmf"/><Relationship Id="rId16" Type="http://schemas.openxmlformats.org/officeDocument/2006/relationships/image" Target="media/image11.wmf"/><Relationship Id="rId17" Type="http://schemas.openxmlformats.org/officeDocument/2006/relationships/image" Target="media/image12.wmf"/><Relationship Id="rId18" Type="http://schemas.openxmlformats.org/officeDocument/2006/relationships/image" Target="media/image13.wmf"/><Relationship Id="rId19" Type="http://schemas.openxmlformats.org/officeDocument/2006/relationships/image" Target="media/image14.wmf"/><Relationship Id="rId20" Type="http://schemas.openxmlformats.org/officeDocument/2006/relationships/image" Target="media/image15.wmf"/><Relationship Id="rId21" Type="http://schemas.openxmlformats.org/officeDocument/2006/relationships/image" Target="media/image16.wmf"/><Relationship Id="rId22" Type="http://schemas.openxmlformats.org/officeDocument/2006/relationships/image" Target="media/image17.wmf"/><Relationship Id="rId23" Type="http://schemas.openxmlformats.org/officeDocument/2006/relationships/image" Target="media/image18.wmf"/><Relationship Id="rId24" Type="http://schemas.openxmlformats.org/officeDocument/2006/relationships/image" Target="media/image19.wmf"/><Relationship Id="rId25" Type="http://schemas.openxmlformats.org/officeDocument/2006/relationships/image" Target="media/image20.wmf"/><Relationship Id="rId26" Type="http://schemas.openxmlformats.org/officeDocument/2006/relationships/image" Target="media/image21.wmf"/><Relationship Id="rId27" Type="http://schemas.openxmlformats.org/officeDocument/2006/relationships/image" Target="media/image22.wmf"/><Relationship Id="rId28" Type="http://schemas.openxmlformats.org/officeDocument/2006/relationships/image" Target="media/image21.wmf"/><Relationship Id="rId29" Type="http://schemas.openxmlformats.org/officeDocument/2006/relationships/image" Target="media/image22.wmf"/><Relationship Id="rId30" Type="http://schemas.openxmlformats.org/officeDocument/2006/relationships/header" Target="header1.xml"/><Relationship Id="rId31" Type="http://schemas.openxmlformats.org/officeDocument/2006/relationships/footer" Target="footer1.xml"/><Relationship Id="rId32" Type="http://schemas.openxmlformats.org/officeDocument/2006/relationships/footnotes" Target="footnotes.xml"/><Relationship Id="rId33" Type="http://schemas.openxmlformats.org/officeDocument/2006/relationships/numbering" Target="numbering.xml"/><Relationship Id="rId34" Type="http://schemas.openxmlformats.org/officeDocument/2006/relationships/fontTable" Target="fontTable.xml"/><Relationship Id="rId35" Type="http://schemas.openxmlformats.org/officeDocument/2006/relationships/settings" Target="settings.xml"/><Relationship Id="rId36" Type="http://schemas.openxmlformats.org/officeDocument/2006/relationships/theme" Target="theme/theme1.xml"/><Relationship Id="rId37" Type="http://schemas.openxmlformats.org/officeDocument/2006/relationships/customXml" Target="../customXml/item1.xml"/><Relationship Id="rId38" Type="http://schemas.openxmlformats.org/officeDocument/2006/relationships/customXml" Target="../customXml/item2.xml"/><Relationship Id="rId39" Type="http://schemas.openxmlformats.org/officeDocument/2006/relationships/customXml" Target="../customXml/item3.xml"/><Relationship Id="rId40" Type="http://schemas.openxmlformats.org/officeDocument/2006/relationships/customXml" Target="../customXml/item4.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0BAB9-8B8F-4B85-B8DF-266ED50E1B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4.xml><?xml version="1.0" encoding="utf-8"?>
<ds:datastoreItem xmlns:ds="http://schemas.openxmlformats.org/officeDocument/2006/customXml" ds:itemID="{61FCD7A3-1FAA-4EAB-97AC-8394ADCA0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Application>AlterOffice/3.4.0.9$Linux_X86_64 LibreOffice_project/b8daf9e823b1a5463a2f48435ddc2e8696e7d4fc</Application>
  <AppVersion>15.0000</AppVersion>
  <Pages>25</Pages>
  <Words>8616</Words>
  <Characters>60926</Characters>
  <CharactersWithSpaces>61597</CharactersWithSpaces>
  <Paragraphs>334</Paragraphs>
  <Company>Inter RAO UES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2025-03-31T07:59:00Z</dcterms:created>
  <dc:creator>tsypilev_ag</dc:creator>
  <dc:description/>
  <dc:language>ru-RU</dc:language>
  <cp:lastModifiedBy>raenkoin@corp.gidroogk.com</cp:lastModifiedBy>
  <cp:lastPrinted>2025-01-24T10:05:00Z</cp:lastPrinted>
  <dcterms:modified xsi:type="dcterms:W3CDTF">2026-08-14T11:43:23Z</dcterms:modified>
  <cp:revision>43</cp:revision>
  <dc:subject/>
  <dc:title>Договор № _________</dc:title>
</cp:coreProperties>
</file>

<file path=docProps/custom.xml><?xml version="1.0" encoding="utf-8"?>
<Properties xmlns="http://schemas.openxmlformats.org/officeDocument/2006/custom-properties" xmlns:vt="http://schemas.openxmlformats.org/officeDocument/2006/docPropsVTypes"/>
</file>